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cs="仿宋"/>
          <w:color w:val="auto"/>
          <w:sz w:val="32"/>
          <w:szCs w:val="32"/>
        </w:rPr>
      </w:pPr>
      <w:bookmarkStart w:id="4" w:name="_GoBack"/>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center"/>
        <w:rPr>
          <w:rFonts w:ascii="黑体" w:hAnsi="黑体" w:eastAsia="黑体" w:cs="黑体"/>
          <w:b/>
          <w:bCs/>
          <w:color w:val="auto"/>
          <w:sz w:val="52"/>
          <w:szCs w:val="52"/>
        </w:rPr>
      </w:pPr>
      <w:r>
        <w:rPr>
          <w:rFonts w:hint="eastAsia" w:ascii="黑体" w:hAnsi="黑体" w:eastAsia="黑体" w:cs="黑体"/>
          <w:b/>
          <w:bCs/>
          <w:color w:val="auto"/>
          <w:sz w:val="52"/>
          <w:szCs w:val="52"/>
        </w:rPr>
        <w:t>河池市农业机械化服务中心2022年度部门决算</w:t>
      </w:r>
    </w:p>
    <w:p>
      <w:pPr>
        <w:jc w:val="center"/>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仿宋" w:hAnsi="仿宋" w:eastAsia="仿宋" w:cs="仿宋"/>
          <w:color w:val="auto"/>
          <w:sz w:val="32"/>
          <w:szCs w:val="32"/>
        </w:rPr>
      </w:pPr>
    </w:p>
    <w:p>
      <w:pPr>
        <w:jc w:val="center"/>
        <w:rPr>
          <w:rFonts w:ascii="黑体" w:hAnsi="黑体" w:eastAsia="黑体" w:cs="黑体"/>
          <w:b/>
          <w:bCs/>
          <w:color w:val="auto"/>
          <w:sz w:val="36"/>
          <w:szCs w:val="36"/>
        </w:rPr>
      </w:pPr>
      <w:r>
        <w:rPr>
          <w:rFonts w:hint="eastAsia" w:ascii="黑体" w:hAnsi="黑体" w:eastAsia="黑体" w:cs="黑体"/>
          <w:b/>
          <w:bCs/>
          <w:color w:val="auto"/>
          <w:sz w:val="36"/>
          <w:szCs w:val="36"/>
        </w:rPr>
        <w:t>2023年9月</w:t>
      </w:r>
    </w:p>
    <w:p>
      <w:pPr>
        <w:rPr>
          <w:rFonts w:ascii="仿宋" w:hAnsi="仿宋" w:eastAsia="仿宋" w:cs="仿宋"/>
          <w:color w:val="auto"/>
          <w:sz w:val="32"/>
          <w:szCs w:val="32"/>
        </w:rPr>
      </w:pPr>
      <w:r>
        <w:rPr>
          <w:rFonts w:ascii="仿宋" w:hAnsi="仿宋" w:eastAsia="仿宋" w:cs="仿宋"/>
          <w:color w:val="auto"/>
          <w:sz w:val="32"/>
          <w:szCs w:val="32"/>
        </w:rPr>
        <w:br w:type="page"/>
      </w:r>
    </w:p>
    <w:p>
      <w:pPr>
        <w:jc w:val="center"/>
        <w:rPr>
          <w:rFonts w:ascii="黑体" w:hAnsi="黑体" w:eastAsia="黑体" w:cs="黑体"/>
          <w:b/>
          <w:bCs/>
          <w:color w:val="auto"/>
          <w:sz w:val="36"/>
          <w:szCs w:val="36"/>
        </w:rPr>
      </w:pPr>
      <w:r>
        <w:rPr>
          <w:rFonts w:hint="eastAsia" w:ascii="黑体" w:hAnsi="黑体" w:eastAsia="黑体" w:cs="黑体"/>
          <w:b/>
          <w:bCs/>
          <w:color w:val="auto"/>
          <w:sz w:val="36"/>
          <w:szCs w:val="36"/>
        </w:rPr>
        <w:t>目    录</w:t>
      </w:r>
    </w:p>
    <w:p>
      <w:pPr>
        <w:jc w:val="left"/>
        <w:rPr>
          <w:rFonts w:ascii="黑体" w:hAnsi="黑体" w:eastAsia="黑体" w:cs="黑体"/>
          <w:b/>
          <w:bCs/>
          <w:color w:val="auto"/>
          <w:sz w:val="36"/>
          <w:szCs w:val="36"/>
        </w:rPr>
      </w:pPr>
    </w:p>
    <w:p>
      <w:pPr>
        <w:jc w:val="left"/>
        <w:rPr>
          <w:rFonts w:ascii="仿宋" w:hAnsi="仿宋" w:eastAsia="仿宋" w:cs="仿宋"/>
          <w:color w:val="auto"/>
          <w:sz w:val="32"/>
          <w:szCs w:val="32"/>
        </w:rPr>
      </w:pPr>
      <w:r>
        <w:rPr>
          <w:rFonts w:hint="eastAsia" w:ascii="黑体" w:hAnsi="黑体" w:eastAsia="黑体" w:cs="黑体"/>
          <w:color w:val="auto"/>
          <w:sz w:val="32"/>
          <w:szCs w:val="32"/>
        </w:rPr>
        <w:t>第一部分：</w:t>
      </w:r>
      <w:r>
        <w:rPr>
          <w:rFonts w:ascii="黑体" w:hAnsi="黑体" w:eastAsia="黑体" w:cs="黑体"/>
          <w:color w:val="auto"/>
          <w:sz w:val="32"/>
        </w:rPr>
        <w:t>河池市农业机械化服务中心</w:t>
      </w:r>
      <w:r>
        <w:rPr>
          <w:rFonts w:hint="eastAsia" w:ascii="黑体" w:hAnsi="黑体" w:eastAsia="黑体" w:cs="黑体"/>
          <w:color w:val="auto"/>
          <w:sz w:val="32"/>
          <w:szCs w:val="32"/>
        </w:rPr>
        <w:t>概况</w:t>
      </w:r>
    </w:p>
    <w:p>
      <w:pPr>
        <w:pStyle w:val="13"/>
        <w:numPr>
          <w:ilvl w:val="0"/>
          <w:numId w:val="0"/>
        </w:numPr>
        <w:spacing w:line="560" w:lineRule="exact"/>
        <w:jc w:val="left"/>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eastAsia="zh-CN"/>
        </w:rPr>
        <w:t>一、</w:t>
      </w:r>
      <w:r>
        <w:rPr>
          <w:rFonts w:hint="eastAsia" w:ascii="仿宋" w:hAnsi="仿宋" w:eastAsia="仿宋" w:cs="仿宋"/>
          <w:b w:val="0"/>
          <w:bCs w:val="0"/>
          <w:color w:val="auto"/>
          <w:sz w:val="32"/>
          <w:szCs w:val="32"/>
        </w:rPr>
        <w:t>主要职能</w:t>
      </w:r>
    </w:p>
    <w:p>
      <w:pPr>
        <w:jc w:val="left"/>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二、部门决算单位构成</w:t>
      </w:r>
    </w:p>
    <w:p>
      <w:pPr>
        <w:jc w:val="left"/>
        <w:rPr>
          <w:rFonts w:ascii="黑体" w:hAnsi="黑体" w:eastAsia="黑体" w:cs="黑体"/>
          <w:color w:val="auto"/>
          <w:sz w:val="32"/>
          <w:szCs w:val="32"/>
        </w:rPr>
      </w:pPr>
      <w:r>
        <w:rPr>
          <w:rFonts w:hint="eastAsia" w:ascii="黑体" w:hAnsi="黑体" w:eastAsia="黑体" w:cs="黑体"/>
          <w:color w:val="auto"/>
          <w:sz w:val="32"/>
          <w:szCs w:val="32"/>
        </w:rPr>
        <w:t>第二部分：</w:t>
      </w:r>
      <w:r>
        <w:rPr>
          <w:rFonts w:ascii="黑体" w:hAnsi="黑体" w:eastAsia="黑体" w:cs="黑体"/>
          <w:color w:val="auto"/>
          <w:sz w:val="32"/>
        </w:rPr>
        <w:t>河池市农业机械化服务中心</w:t>
      </w:r>
      <w:r>
        <w:rPr>
          <w:rFonts w:hint="eastAsia" w:ascii="黑体" w:hAnsi="黑体" w:eastAsia="黑体" w:cs="黑体"/>
          <w:color w:val="auto"/>
          <w:sz w:val="32"/>
          <w:szCs w:val="32"/>
        </w:rPr>
        <w:t>2022年度部门决算报表</w:t>
      </w:r>
    </w:p>
    <w:p>
      <w:pPr>
        <w:rPr>
          <w:rFonts w:ascii="仿宋_GB2312" w:eastAsia="仿宋_GB2312"/>
          <w:color w:val="auto"/>
          <w:sz w:val="32"/>
          <w:szCs w:val="32"/>
        </w:rPr>
      </w:pPr>
      <w:r>
        <w:rPr>
          <w:rFonts w:hint="eastAsia" w:ascii="仿宋_GB2312" w:eastAsia="仿宋_GB2312"/>
          <w:color w:val="auto"/>
          <w:sz w:val="32"/>
          <w:szCs w:val="32"/>
        </w:rPr>
        <w:t>表一：收入支出决算总表</w:t>
      </w:r>
    </w:p>
    <w:p>
      <w:pPr>
        <w:rPr>
          <w:rFonts w:ascii="仿宋_GB2312" w:eastAsia="仿宋_GB2312"/>
          <w:color w:val="auto"/>
          <w:sz w:val="32"/>
          <w:szCs w:val="32"/>
        </w:rPr>
      </w:pPr>
      <w:r>
        <w:rPr>
          <w:rFonts w:hint="eastAsia" w:ascii="仿宋_GB2312" w:eastAsia="仿宋_GB2312"/>
          <w:color w:val="auto"/>
          <w:sz w:val="32"/>
          <w:szCs w:val="32"/>
        </w:rPr>
        <w:t>表二：收入决算表</w:t>
      </w:r>
    </w:p>
    <w:p>
      <w:pPr>
        <w:rPr>
          <w:rFonts w:ascii="仿宋_GB2312" w:eastAsia="仿宋_GB2312"/>
          <w:color w:val="auto"/>
          <w:sz w:val="32"/>
          <w:szCs w:val="32"/>
        </w:rPr>
      </w:pPr>
      <w:r>
        <w:rPr>
          <w:rFonts w:hint="eastAsia" w:ascii="仿宋_GB2312" w:eastAsia="仿宋_GB2312"/>
          <w:color w:val="auto"/>
          <w:sz w:val="32"/>
          <w:szCs w:val="32"/>
        </w:rPr>
        <w:t>表三：支出决算表</w:t>
      </w:r>
    </w:p>
    <w:p>
      <w:pPr>
        <w:rPr>
          <w:rFonts w:ascii="仿宋_GB2312" w:eastAsia="仿宋_GB2312"/>
          <w:color w:val="auto"/>
          <w:sz w:val="32"/>
          <w:szCs w:val="32"/>
        </w:rPr>
      </w:pPr>
      <w:r>
        <w:rPr>
          <w:rFonts w:hint="eastAsia" w:ascii="仿宋_GB2312" w:eastAsia="仿宋_GB2312"/>
          <w:color w:val="auto"/>
          <w:sz w:val="32"/>
          <w:szCs w:val="32"/>
        </w:rPr>
        <w:t>表四：财政拨款收入支出决算总表</w:t>
      </w:r>
    </w:p>
    <w:p>
      <w:pPr>
        <w:rPr>
          <w:rFonts w:ascii="仿宋_GB2312" w:eastAsia="仿宋_GB2312"/>
          <w:color w:val="auto"/>
          <w:sz w:val="32"/>
          <w:szCs w:val="32"/>
        </w:rPr>
      </w:pPr>
      <w:r>
        <w:rPr>
          <w:rFonts w:hint="eastAsia" w:ascii="仿宋_GB2312" w:eastAsia="仿宋_GB2312"/>
          <w:color w:val="auto"/>
          <w:sz w:val="32"/>
          <w:szCs w:val="32"/>
        </w:rPr>
        <w:t>表五：一般公共预算财政拨款支出决算表</w:t>
      </w:r>
    </w:p>
    <w:p>
      <w:pPr>
        <w:rPr>
          <w:rFonts w:ascii="仿宋_GB2312" w:eastAsia="仿宋_GB2312"/>
          <w:color w:val="auto"/>
          <w:sz w:val="32"/>
          <w:szCs w:val="32"/>
        </w:rPr>
      </w:pPr>
      <w:r>
        <w:rPr>
          <w:rFonts w:hint="eastAsia" w:ascii="仿宋_GB2312" w:eastAsia="仿宋_GB2312"/>
          <w:color w:val="auto"/>
          <w:sz w:val="32"/>
          <w:szCs w:val="32"/>
        </w:rPr>
        <w:t>表六：一般公共预算财政拨款基本支出决算明细表</w:t>
      </w:r>
    </w:p>
    <w:p>
      <w:pPr>
        <w:rPr>
          <w:rFonts w:ascii="仿宋_GB2312" w:eastAsia="仿宋_GB2312"/>
          <w:color w:val="auto"/>
          <w:sz w:val="32"/>
          <w:szCs w:val="32"/>
        </w:rPr>
      </w:pPr>
      <w:r>
        <w:rPr>
          <w:rFonts w:hint="eastAsia" w:ascii="仿宋_GB2312" w:eastAsia="仿宋_GB2312"/>
          <w:color w:val="auto"/>
          <w:sz w:val="32"/>
          <w:szCs w:val="32"/>
        </w:rPr>
        <w:t>表七：政府性基金</w:t>
      </w:r>
      <w:r>
        <w:rPr>
          <w:rFonts w:hint="eastAsia" w:ascii="仿宋_GB2312" w:hAnsi="黑体" w:eastAsia="仿宋_GB2312"/>
          <w:color w:val="auto"/>
          <w:sz w:val="32"/>
          <w:szCs w:val="32"/>
        </w:rPr>
        <w:t>预算财政拨款</w:t>
      </w:r>
      <w:r>
        <w:rPr>
          <w:rFonts w:hint="eastAsia" w:ascii="仿宋_GB2312" w:eastAsia="仿宋_GB2312"/>
          <w:color w:val="auto"/>
          <w:sz w:val="32"/>
          <w:szCs w:val="32"/>
        </w:rPr>
        <w:t>收入支出决算表</w:t>
      </w:r>
    </w:p>
    <w:p>
      <w:pPr>
        <w:rPr>
          <w:rFonts w:ascii="仿宋_GB2312" w:eastAsia="仿宋_GB2312"/>
          <w:color w:val="auto"/>
          <w:sz w:val="32"/>
          <w:szCs w:val="32"/>
        </w:rPr>
      </w:pPr>
      <w:r>
        <w:rPr>
          <w:rFonts w:hint="eastAsia" w:ascii="仿宋_GB2312" w:eastAsia="仿宋_GB2312"/>
          <w:color w:val="auto"/>
          <w:sz w:val="32"/>
          <w:szCs w:val="32"/>
        </w:rPr>
        <w:t>表八：国有资本经营预算</w:t>
      </w:r>
      <w:r>
        <w:rPr>
          <w:rFonts w:hint="eastAsia" w:ascii="仿宋_GB2312" w:hAnsi="黑体" w:eastAsia="仿宋_GB2312"/>
          <w:color w:val="auto"/>
          <w:sz w:val="32"/>
          <w:szCs w:val="32"/>
        </w:rPr>
        <w:t>财政拨款</w:t>
      </w:r>
      <w:r>
        <w:rPr>
          <w:rFonts w:hint="eastAsia" w:ascii="仿宋_GB2312" w:eastAsia="仿宋_GB2312"/>
          <w:color w:val="auto"/>
          <w:sz w:val="32"/>
          <w:szCs w:val="32"/>
        </w:rPr>
        <w:t>支出决算表</w:t>
      </w:r>
    </w:p>
    <w:p>
      <w:pPr>
        <w:rPr>
          <w:rFonts w:ascii="仿宋_GB2312" w:eastAsia="仿宋_GB2312"/>
          <w:color w:val="auto"/>
          <w:sz w:val="32"/>
          <w:szCs w:val="32"/>
        </w:rPr>
      </w:pPr>
      <w:r>
        <w:rPr>
          <w:rFonts w:hint="eastAsia" w:ascii="仿宋_GB2312" w:eastAsia="仿宋_GB2312"/>
          <w:color w:val="auto"/>
          <w:sz w:val="32"/>
          <w:szCs w:val="32"/>
        </w:rPr>
        <w:t>表九：一般公共预算财政拨款安排的“三公”经费支出决算表</w:t>
      </w:r>
    </w:p>
    <w:p>
      <w:pPr>
        <w:jc w:val="left"/>
        <w:rPr>
          <w:rFonts w:ascii="仿宋" w:hAnsi="仿宋" w:eastAsia="仿宋" w:cs="仿宋"/>
          <w:color w:val="auto"/>
          <w:sz w:val="32"/>
          <w:szCs w:val="32"/>
        </w:rPr>
      </w:pPr>
      <w:r>
        <w:rPr>
          <w:rFonts w:hint="eastAsia" w:ascii="黑体" w:hAnsi="黑体" w:eastAsia="黑体" w:cs="黑体"/>
          <w:color w:val="auto"/>
          <w:sz w:val="32"/>
          <w:szCs w:val="32"/>
        </w:rPr>
        <w:t>第三部分：</w:t>
      </w:r>
      <w:r>
        <w:rPr>
          <w:rFonts w:ascii="黑体" w:hAnsi="黑体" w:eastAsia="黑体" w:cs="黑体"/>
          <w:color w:val="auto"/>
          <w:sz w:val="32"/>
        </w:rPr>
        <w:t>河池市农业机械化服务中心</w:t>
      </w:r>
      <w:r>
        <w:rPr>
          <w:rFonts w:hint="eastAsia" w:ascii="黑体" w:hAnsi="黑体" w:eastAsia="黑体" w:cs="黑体"/>
          <w:color w:val="auto"/>
          <w:sz w:val="32"/>
          <w:szCs w:val="32"/>
        </w:rPr>
        <w:t>2022年度部门决算情况说明</w:t>
      </w:r>
    </w:p>
    <w:p>
      <w:pPr>
        <w:autoSpaceDE w:val="0"/>
        <w:autoSpaceDN w:val="0"/>
        <w:adjustRightInd w:val="0"/>
        <w:jc w:val="left"/>
        <w:rPr>
          <w:rFonts w:ascii="仿宋_GB2312" w:eastAsia="仿宋_GB2312" w:cs="仿宋_GB2312"/>
          <w:color w:val="auto"/>
          <w:kern w:val="0"/>
          <w:sz w:val="32"/>
          <w:szCs w:val="32"/>
        </w:rPr>
      </w:pPr>
      <w:r>
        <w:rPr>
          <w:rFonts w:hint="eastAsia" w:ascii="仿宋_GB2312" w:eastAsia="仿宋_GB2312" w:cs="仿宋_GB2312"/>
          <w:color w:val="auto"/>
          <w:kern w:val="0"/>
          <w:sz w:val="32"/>
          <w:szCs w:val="32"/>
        </w:rPr>
        <w:t>一、</w:t>
      </w:r>
      <w:r>
        <w:rPr>
          <w:rFonts w:hint="eastAsia" w:ascii="仿宋_GB2312" w:eastAsia="仿宋_GB2312"/>
          <w:color w:val="auto"/>
          <w:kern w:val="0"/>
          <w:sz w:val="32"/>
          <w:szCs w:val="32"/>
        </w:rPr>
        <w:t>2022</w:t>
      </w:r>
      <w:r>
        <w:rPr>
          <w:rFonts w:hint="eastAsia" w:ascii="仿宋_GB2312" w:eastAsia="仿宋_GB2312" w:cs="仿宋_GB2312"/>
          <w:color w:val="auto"/>
          <w:kern w:val="0"/>
          <w:sz w:val="32"/>
          <w:szCs w:val="32"/>
        </w:rPr>
        <w:t>年度收入支出决算总体情况。</w:t>
      </w:r>
    </w:p>
    <w:p>
      <w:pPr>
        <w:autoSpaceDE w:val="0"/>
        <w:autoSpaceDN w:val="0"/>
        <w:adjustRightInd w:val="0"/>
        <w:jc w:val="left"/>
        <w:rPr>
          <w:rFonts w:ascii="仿宋_GB2312" w:eastAsia="仿宋_GB2312" w:cs="仿宋_GB2312"/>
          <w:color w:val="auto"/>
          <w:kern w:val="0"/>
          <w:sz w:val="32"/>
          <w:szCs w:val="32"/>
        </w:rPr>
      </w:pPr>
      <w:r>
        <w:rPr>
          <w:rFonts w:hint="eastAsia" w:ascii="仿宋_GB2312" w:eastAsia="仿宋_GB2312" w:cs="仿宋_GB2312"/>
          <w:color w:val="auto"/>
          <w:kern w:val="0"/>
          <w:sz w:val="32"/>
          <w:szCs w:val="32"/>
        </w:rPr>
        <w:t>二、</w:t>
      </w:r>
      <w:r>
        <w:rPr>
          <w:rFonts w:hint="eastAsia" w:ascii="仿宋_GB2312" w:eastAsia="仿宋_GB2312"/>
          <w:color w:val="auto"/>
          <w:kern w:val="0"/>
          <w:sz w:val="32"/>
          <w:szCs w:val="32"/>
        </w:rPr>
        <w:t>2022</w:t>
      </w:r>
      <w:r>
        <w:rPr>
          <w:rFonts w:hint="eastAsia" w:ascii="仿宋_GB2312" w:eastAsia="仿宋_GB2312" w:cs="仿宋_GB2312"/>
          <w:color w:val="auto"/>
          <w:kern w:val="0"/>
          <w:sz w:val="32"/>
          <w:szCs w:val="32"/>
        </w:rPr>
        <w:t>年度</w:t>
      </w:r>
      <w:r>
        <w:rPr>
          <w:rFonts w:hint="eastAsia" w:ascii="仿宋_GB2312" w:eastAsia="仿宋_GB2312"/>
          <w:color w:val="auto"/>
          <w:sz w:val="32"/>
          <w:szCs w:val="32"/>
        </w:rPr>
        <w:t>一般</w:t>
      </w:r>
      <w:r>
        <w:rPr>
          <w:rFonts w:hint="eastAsia" w:ascii="仿宋_GB2312" w:eastAsia="仿宋_GB2312" w:cs="仿宋_GB2312"/>
          <w:color w:val="auto"/>
          <w:kern w:val="0"/>
          <w:sz w:val="32"/>
          <w:szCs w:val="32"/>
        </w:rPr>
        <w:t>公共预算财政拨款支出决算情况。</w:t>
      </w:r>
    </w:p>
    <w:p>
      <w:pPr>
        <w:autoSpaceDE w:val="0"/>
        <w:autoSpaceDN w:val="0"/>
        <w:adjustRightInd w:val="0"/>
        <w:jc w:val="left"/>
        <w:rPr>
          <w:rFonts w:ascii="仿宋_GB2312" w:eastAsia="仿宋_GB2312" w:cs="仿宋_GB2312"/>
          <w:color w:val="auto"/>
          <w:kern w:val="0"/>
          <w:sz w:val="32"/>
          <w:szCs w:val="32"/>
        </w:rPr>
      </w:pPr>
      <w:r>
        <w:rPr>
          <w:rFonts w:hint="eastAsia" w:ascii="仿宋_GB2312" w:eastAsia="仿宋_GB2312" w:cs="仿宋_GB2312"/>
          <w:color w:val="auto"/>
          <w:kern w:val="0"/>
          <w:sz w:val="32"/>
          <w:szCs w:val="32"/>
        </w:rPr>
        <w:t>三、2022年度一般公共预算财政拨款基本支出决算情况说明。</w:t>
      </w:r>
    </w:p>
    <w:p>
      <w:pPr>
        <w:autoSpaceDE w:val="0"/>
        <w:autoSpaceDN w:val="0"/>
        <w:adjustRightInd w:val="0"/>
        <w:jc w:val="left"/>
        <w:rPr>
          <w:rFonts w:ascii="仿宋_GB2312" w:eastAsia="仿宋_GB2312" w:cs="仿宋_GB2312"/>
          <w:color w:val="auto"/>
          <w:kern w:val="0"/>
          <w:sz w:val="32"/>
          <w:szCs w:val="32"/>
        </w:rPr>
      </w:pPr>
      <w:r>
        <w:rPr>
          <w:rFonts w:hint="eastAsia" w:ascii="仿宋_GB2312" w:eastAsia="仿宋_GB2312" w:cs="仿宋_GB2312"/>
          <w:color w:val="auto"/>
          <w:kern w:val="0"/>
          <w:sz w:val="32"/>
          <w:szCs w:val="32"/>
        </w:rPr>
        <w:t>四、</w:t>
      </w:r>
      <w:r>
        <w:rPr>
          <w:rFonts w:hint="eastAsia" w:ascii="仿宋_GB2312" w:eastAsia="仿宋_GB2312"/>
          <w:color w:val="auto"/>
          <w:kern w:val="0"/>
          <w:sz w:val="32"/>
          <w:szCs w:val="32"/>
        </w:rPr>
        <w:t>2022</w:t>
      </w:r>
      <w:r>
        <w:rPr>
          <w:rFonts w:hint="eastAsia" w:ascii="仿宋_GB2312" w:eastAsia="仿宋_GB2312" w:cs="仿宋_GB2312"/>
          <w:color w:val="auto"/>
          <w:kern w:val="0"/>
          <w:sz w:val="32"/>
          <w:szCs w:val="32"/>
        </w:rPr>
        <w:t>年度政府性基金支出决算情况。</w:t>
      </w:r>
    </w:p>
    <w:p>
      <w:pPr>
        <w:autoSpaceDE w:val="0"/>
        <w:autoSpaceDN w:val="0"/>
        <w:adjustRightInd w:val="0"/>
        <w:jc w:val="left"/>
        <w:rPr>
          <w:rFonts w:ascii="仿宋_GB2312" w:eastAsia="仿宋_GB2312" w:cs="仿宋_GB2312"/>
          <w:color w:val="auto"/>
          <w:kern w:val="0"/>
          <w:sz w:val="32"/>
          <w:szCs w:val="32"/>
        </w:rPr>
      </w:pPr>
      <w:r>
        <w:rPr>
          <w:rFonts w:hint="eastAsia" w:ascii="仿宋_GB2312" w:eastAsia="仿宋_GB2312" w:cs="仿宋_GB2312"/>
          <w:color w:val="auto"/>
          <w:kern w:val="0"/>
          <w:sz w:val="32"/>
          <w:szCs w:val="32"/>
        </w:rPr>
        <w:t>五、2022年度国有资本经营预算支出决算情况。</w:t>
      </w:r>
    </w:p>
    <w:p>
      <w:pPr>
        <w:autoSpaceDE w:val="0"/>
        <w:autoSpaceDN w:val="0"/>
        <w:adjustRightInd w:val="0"/>
        <w:jc w:val="left"/>
        <w:rPr>
          <w:rFonts w:ascii="仿宋_GB2312" w:eastAsia="仿宋_GB2312" w:cs="仿宋_GB2312"/>
          <w:color w:val="auto"/>
          <w:kern w:val="0"/>
          <w:sz w:val="32"/>
          <w:szCs w:val="32"/>
        </w:rPr>
      </w:pPr>
      <w:r>
        <w:rPr>
          <w:rFonts w:hint="eastAsia" w:ascii="仿宋_GB2312" w:eastAsia="仿宋_GB2312" w:cs="仿宋_GB2312"/>
          <w:color w:val="auto"/>
          <w:kern w:val="0"/>
          <w:sz w:val="32"/>
          <w:szCs w:val="32"/>
        </w:rPr>
        <w:t>六、</w:t>
      </w:r>
      <w:r>
        <w:rPr>
          <w:rFonts w:hint="eastAsia" w:ascii="仿宋_GB2312" w:eastAsia="仿宋_GB2312"/>
          <w:color w:val="auto"/>
          <w:sz w:val="32"/>
          <w:szCs w:val="32"/>
        </w:rPr>
        <w:t>一般</w:t>
      </w:r>
      <w:r>
        <w:rPr>
          <w:rFonts w:hint="eastAsia" w:ascii="仿宋_GB2312" w:eastAsia="仿宋_GB2312" w:cs="仿宋_GB2312"/>
          <w:color w:val="auto"/>
          <w:kern w:val="0"/>
          <w:sz w:val="32"/>
          <w:szCs w:val="32"/>
        </w:rPr>
        <w:t>公共预算财政拨款安排的“三公”经费支出决算情况说明。</w:t>
      </w:r>
    </w:p>
    <w:p>
      <w:pPr>
        <w:autoSpaceDE w:val="0"/>
        <w:autoSpaceDN w:val="0"/>
        <w:adjustRightInd w:val="0"/>
        <w:jc w:val="left"/>
        <w:rPr>
          <w:rFonts w:ascii="仿宋_GB2312" w:eastAsia="仿宋_GB2312" w:cs="仿宋_GB2312"/>
          <w:color w:val="auto"/>
          <w:kern w:val="0"/>
          <w:sz w:val="32"/>
          <w:szCs w:val="32"/>
        </w:rPr>
      </w:pPr>
      <w:r>
        <w:rPr>
          <w:rFonts w:hint="eastAsia" w:ascii="仿宋_GB2312" w:eastAsia="仿宋_GB2312" w:cs="仿宋_GB2312"/>
          <w:color w:val="auto"/>
          <w:kern w:val="0"/>
          <w:sz w:val="32"/>
          <w:szCs w:val="32"/>
        </w:rPr>
        <w:t>七、其他重要事项情况说明。</w:t>
      </w:r>
    </w:p>
    <w:p>
      <w:pPr>
        <w:jc w:val="left"/>
        <w:rPr>
          <w:rFonts w:ascii="仿宋_GB2312" w:eastAsia="仿宋_GB2312" w:cs="仿宋_GB2312"/>
          <w:color w:val="auto"/>
          <w:kern w:val="0"/>
          <w:sz w:val="32"/>
          <w:szCs w:val="32"/>
        </w:rPr>
      </w:pPr>
      <w:r>
        <w:rPr>
          <w:rFonts w:ascii="仿宋_GB2312" w:eastAsia="仿宋_GB2312" w:cs="仿宋_GB2312"/>
          <w:color w:val="auto"/>
          <w:kern w:val="0"/>
          <w:sz w:val="32"/>
          <w:szCs w:val="32"/>
        </w:rPr>
        <w:t>八、预算绩效管理工作开展情况</w:t>
      </w:r>
      <w:r>
        <w:rPr>
          <w:rFonts w:hint="eastAsia" w:ascii="仿宋_GB2312" w:eastAsia="仿宋_GB2312" w:cs="仿宋_GB2312"/>
          <w:color w:val="auto"/>
          <w:kern w:val="0"/>
          <w:sz w:val="32"/>
          <w:szCs w:val="32"/>
        </w:rPr>
        <w:t>。</w:t>
      </w:r>
    </w:p>
    <w:p>
      <w:pPr>
        <w:jc w:val="left"/>
        <w:rPr>
          <w:rFonts w:ascii="黑体" w:hAnsi="黑体" w:eastAsia="黑体" w:cs="黑体"/>
          <w:color w:val="auto"/>
          <w:sz w:val="32"/>
          <w:szCs w:val="32"/>
        </w:rPr>
      </w:pPr>
      <w:r>
        <w:rPr>
          <w:rFonts w:hint="eastAsia" w:ascii="黑体" w:hAnsi="黑体" w:eastAsia="黑体" w:cs="黑体"/>
          <w:color w:val="auto"/>
          <w:sz w:val="32"/>
          <w:szCs w:val="32"/>
        </w:rPr>
        <w:t>第四部分：名词解释</w:t>
      </w:r>
    </w:p>
    <w:p>
      <w:pPr>
        <w:jc w:val="left"/>
        <w:rPr>
          <w:rFonts w:ascii="黑体" w:hAnsi="黑体" w:eastAsia="黑体" w:cs="黑体"/>
          <w:color w:val="auto"/>
          <w:sz w:val="32"/>
          <w:szCs w:val="32"/>
        </w:rPr>
      </w:pPr>
      <w:r>
        <w:rPr>
          <w:rFonts w:hint="eastAsia" w:ascii="黑体" w:hAnsi="黑体" w:eastAsia="黑体" w:cs="黑体"/>
          <w:color w:val="auto"/>
          <w:sz w:val="32"/>
          <w:szCs w:val="32"/>
        </w:rPr>
        <w:br w:type="page"/>
      </w:r>
    </w:p>
    <w:p>
      <w:pPr>
        <w:jc w:val="center"/>
        <w:rPr>
          <w:rFonts w:ascii="仿宋" w:hAnsi="仿宋" w:eastAsia="仿宋" w:cs="仿宋"/>
          <w:color w:val="auto"/>
          <w:sz w:val="32"/>
          <w:szCs w:val="32"/>
        </w:rPr>
      </w:pPr>
      <w:r>
        <w:rPr>
          <w:rFonts w:hint="eastAsia" w:ascii="黑体" w:hAnsi="黑体" w:eastAsia="黑体" w:cs="黑体"/>
          <w:b/>
          <w:bCs/>
          <w:color w:val="auto"/>
          <w:sz w:val="32"/>
          <w:szCs w:val="32"/>
        </w:rPr>
        <w:t>第一部分：</w:t>
      </w:r>
      <w:r>
        <w:rPr>
          <w:rFonts w:ascii="黑体" w:hAnsi="黑体" w:eastAsia="黑体" w:cs="黑体"/>
          <w:b/>
          <w:color w:val="auto"/>
          <w:sz w:val="32"/>
        </w:rPr>
        <w:t>河池市农业机械化服务中心</w:t>
      </w:r>
      <w:r>
        <w:rPr>
          <w:rFonts w:hint="eastAsia" w:ascii="黑体" w:hAnsi="黑体" w:eastAsia="黑体" w:cs="黑体"/>
          <w:b/>
          <w:bCs/>
          <w:color w:val="auto"/>
          <w:sz w:val="32"/>
          <w:szCs w:val="32"/>
        </w:rPr>
        <w:t>概况</w:t>
      </w:r>
    </w:p>
    <w:p>
      <w:pPr>
        <w:jc w:val="left"/>
        <w:rPr>
          <w:rFonts w:ascii="仿宋" w:hAnsi="仿宋" w:eastAsia="仿宋" w:cs="仿宋"/>
          <w:color w:val="auto"/>
          <w:sz w:val="32"/>
          <w:szCs w:val="32"/>
        </w:rPr>
      </w:pPr>
      <w:r>
        <w:rPr>
          <w:rFonts w:hint="eastAsia" w:ascii="黑体" w:hAnsi="黑体" w:eastAsia="黑体" w:cs="黑体"/>
          <w:color w:val="auto"/>
          <w:sz w:val="32"/>
          <w:szCs w:val="32"/>
        </w:rPr>
        <w:t>一、主要职能</w:t>
      </w:r>
    </w:p>
    <w:p>
      <w:pPr>
        <w:autoSpaceDE w:val="0"/>
        <w:spacing w:line="560" w:lineRule="exact"/>
        <w:ind w:firstLine="640" w:firstLineChars="200"/>
        <w:outlineLvl w:val="2"/>
        <w:rPr>
          <w:rFonts w:ascii="仿宋_GB2312" w:eastAsia="仿宋_GB2312"/>
          <w:color w:val="auto"/>
          <w:sz w:val="32"/>
          <w:szCs w:val="32"/>
        </w:rPr>
      </w:pPr>
      <w:r>
        <w:rPr>
          <w:rFonts w:hint="eastAsia" w:ascii="仿宋_GB2312" w:eastAsia="仿宋_GB2312"/>
          <w:color w:val="auto"/>
          <w:sz w:val="32"/>
          <w:szCs w:val="32"/>
        </w:rPr>
        <w:t>1.贯彻执行国家、自治区有关农业机械化的方针、政策和法律、法规及市委、市政府有关农机化的决策部署，研究提出全市农业机械化发展方向，为推进农机化发展提供技术性支撑和事务性服务。</w:t>
      </w:r>
    </w:p>
    <w:p>
      <w:pPr>
        <w:autoSpaceDE w:val="0"/>
        <w:spacing w:line="560" w:lineRule="exact"/>
        <w:ind w:firstLine="640" w:firstLineChars="200"/>
        <w:outlineLvl w:val="2"/>
        <w:rPr>
          <w:rFonts w:hint="eastAsia" w:ascii="仿宋_GB2312" w:eastAsia="仿宋_GB2312"/>
          <w:color w:val="auto"/>
          <w:sz w:val="32"/>
          <w:szCs w:val="32"/>
        </w:rPr>
      </w:pPr>
      <w:r>
        <w:rPr>
          <w:rFonts w:hint="eastAsia" w:ascii="仿宋_GB2312" w:eastAsia="仿宋_GB2312"/>
          <w:color w:val="auto"/>
          <w:sz w:val="32"/>
          <w:szCs w:val="32"/>
        </w:rPr>
        <w:t>2.调查研究农机化产业结构调整、农机化技术发展方向、发展战略、发展规划和有关设施农业、无人机等智慧农机装备产业转型升级等重大发展和技术问题，提出对策建议。负责开展全市农机化科研和技术推广工作，以及农机化科研、开发、推广项目的申报、立项和实施。</w:t>
      </w:r>
    </w:p>
    <w:p>
      <w:pPr>
        <w:autoSpaceDE w:val="0"/>
        <w:spacing w:line="560" w:lineRule="exact"/>
        <w:ind w:firstLine="640" w:firstLineChars="200"/>
        <w:outlineLvl w:val="2"/>
        <w:rPr>
          <w:rFonts w:hint="eastAsia" w:ascii="仿宋_GB2312" w:eastAsia="仿宋_GB2312"/>
          <w:color w:val="auto"/>
          <w:sz w:val="32"/>
          <w:szCs w:val="32"/>
        </w:rPr>
      </w:pPr>
      <w:r>
        <w:rPr>
          <w:rFonts w:hint="eastAsia" w:ascii="仿宋_GB2312" w:eastAsia="仿宋_GB2312"/>
          <w:color w:val="auto"/>
          <w:sz w:val="32"/>
          <w:szCs w:val="32"/>
        </w:rPr>
        <w:t>3.具体负责农机购置补贴、报废更新补贴、农机作业补贴等农机惠农专项补贴的组织实施和业务指导。指导农业机械化生产、农机社会化服务体系建设、农机维修网络建设和农机抗灾救灾等工作。</w:t>
      </w:r>
    </w:p>
    <w:p>
      <w:pPr>
        <w:autoSpaceDE w:val="0"/>
        <w:spacing w:line="560" w:lineRule="exact"/>
        <w:ind w:firstLine="640" w:firstLineChars="200"/>
        <w:outlineLvl w:val="2"/>
        <w:rPr>
          <w:rFonts w:hint="eastAsia" w:ascii="仿宋_GB2312" w:eastAsia="仿宋_GB2312"/>
          <w:color w:val="auto"/>
          <w:sz w:val="32"/>
          <w:szCs w:val="32"/>
        </w:rPr>
      </w:pPr>
      <w:r>
        <w:rPr>
          <w:rFonts w:hint="eastAsia" w:ascii="仿宋_GB2312" w:eastAsia="仿宋_GB2312"/>
          <w:color w:val="auto"/>
          <w:sz w:val="32"/>
          <w:szCs w:val="32"/>
        </w:rPr>
        <w:t>4.执行农业机械产品需求与科研导向目录、自治区支持推广的农业机械产品目录以及农机生产、维修、作业等地方标准和技术规范。指导重大农业机械科研攻关和建立农业机械化示范基地。负责指导农机合作组织和农民技术人员等开展农机技术推广活动。配合开展农业机械鉴定及农机产品质量检验工作。</w:t>
      </w:r>
    </w:p>
    <w:p>
      <w:pPr>
        <w:autoSpaceDE w:val="0"/>
        <w:spacing w:line="560" w:lineRule="exact"/>
        <w:ind w:firstLine="640" w:firstLineChars="200"/>
        <w:outlineLvl w:val="2"/>
        <w:rPr>
          <w:rFonts w:hint="eastAsia" w:ascii="仿宋_GB2312" w:eastAsia="仿宋_GB2312"/>
          <w:color w:val="auto"/>
          <w:sz w:val="32"/>
          <w:szCs w:val="32"/>
        </w:rPr>
      </w:pPr>
      <w:r>
        <w:rPr>
          <w:rFonts w:hint="eastAsia" w:ascii="仿宋_GB2312" w:eastAsia="仿宋_GB2312"/>
          <w:color w:val="auto"/>
          <w:sz w:val="32"/>
          <w:szCs w:val="32"/>
        </w:rPr>
        <w:t>5.组织实施农业机械化推广体系改革与建设项目和农机社会化服务体系建设项目。负责农业机械化新技术、新机具的开发、引进、试验、示范和科技成果转化推广工作。指导各县（区）开展农机化技术推广。</w:t>
      </w:r>
    </w:p>
    <w:p>
      <w:pPr>
        <w:autoSpaceDE w:val="0"/>
        <w:spacing w:line="560" w:lineRule="exact"/>
        <w:ind w:firstLine="640" w:firstLineChars="200"/>
        <w:outlineLvl w:val="2"/>
        <w:rPr>
          <w:rFonts w:hint="eastAsia" w:ascii="仿宋_GB2312" w:eastAsia="仿宋_GB2312"/>
          <w:color w:val="auto"/>
          <w:sz w:val="32"/>
          <w:szCs w:val="32"/>
        </w:rPr>
      </w:pPr>
      <w:r>
        <w:rPr>
          <w:rFonts w:hint="eastAsia" w:ascii="仿宋_GB2312" w:eastAsia="仿宋_GB2312"/>
          <w:color w:val="auto"/>
          <w:sz w:val="32"/>
          <w:szCs w:val="32"/>
        </w:rPr>
        <w:t>6.承担农业机械产品质量调查、质量投诉、来信来访的技术服务工作，协助相关职能部门处理农机维修质量、作业质量和服务质量投诉案件和相关纠纷调解工作。</w:t>
      </w:r>
    </w:p>
    <w:p>
      <w:pPr>
        <w:autoSpaceDE w:val="0"/>
        <w:spacing w:line="560" w:lineRule="exact"/>
        <w:ind w:firstLine="640" w:firstLineChars="200"/>
        <w:outlineLvl w:val="2"/>
        <w:rPr>
          <w:rFonts w:hint="eastAsia" w:ascii="仿宋_GB2312" w:eastAsia="仿宋_GB2312"/>
          <w:color w:val="auto"/>
          <w:sz w:val="32"/>
          <w:szCs w:val="32"/>
        </w:rPr>
      </w:pPr>
      <w:r>
        <w:rPr>
          <w:rFonts w:hint="eastAsia" w:ascii="仿宋_GB2312" w:eastAsia="仿宋_GB2312"/>
          <w:color w:val="auto"/>
          <w:sz w:val="32"/>
          <w:szCs w:val="32"/>
        </w:rPr>
        <w:t>7.承担农业机械化系统的信息化建设具体工作。负责农业机械化发展目标预测，以及农机化生产情况的统计、分析和信息收集、整理、发布。</w:t>
      </w:r>
    </w:p>
    <w:p>
      <w:pPr>
        <w:autoSpaceDE w:val="0"/>
        <w:spacing w:line="560" w:lineRule="exact"/>
        <w:ind w:firstLine="640" w:firstLineChars="200"/>
        <w:outlineLvl w:val="2"/>
        <w:rPr>
          <w:rFonts w:hint="eastAsia" w:ascii="仿宋_GB2312" w:eastAsia="仿宋_GB2312"/>
          <w:color w:val="auto"/>
          <w:sz w:val="32"/>
          <w:szCs w:val="32"/>
        </w:rPr>
      </w:pPr>
      <w:r>
        <w:rPr>
          <w:rFonts w:hint="eastAsia" w:ascii="仿宋_GB2312" w:eastAsia="仿宋_GB2312"/>
          <w:color w:val="auto"/>
          <w:sz w:val="32"/>
          <w:szCs w:val="32"/>
        </w:rPr>
        <w:t>8.承担农业机械安全技术性、事务性工作，组织实施全市农机使用管理和驾驶操作等各类人员的教育培训和安全宣指导各县（区）开展农机化生产安全服务、农机化政策宣传等行业管理工作。</w:t>
      </w:r>
    </w:p>
    <w:p>
      <w:pPr>
        <w:pStyle w:val="13"/>
        <w:spacing w:line="560" w:lineRule="exact"/>
        <w:rPr>
          <w:rFonts w:hint="eastAsia" w:ascii="Times New Roman" w:eastAsia="宋体"/>
          <w:color w:val="auto"/>
          <w:szCs w:val="21"/>
        </w:rPr>
      </w:pPr>
      <w:r>
        <w:rPr>
          <w:rFonts w:hint="eastAsia" w:ascii="仿宋_GB2312" w:eastAsia="仿宋_GB2312"/>
          <w:color w:val="auto"/>
          <w:sz w:val="32"/>
          <w:szCs w:val="32"/>
        </w:rPr>
        <w:t>9.完成市委、市人民政府交办的其他任务。</w:t>
      </w:r>
    </w:p>
    <w:p>
      <w:pPr>
        <w:jc w:val="left"/>
        <w:rPr>
          <w:rFonts w:ascii="仿宋" w:hAnsi="仿宋" w:eastAsia="仿宋" w:cs="仿宋"/>
          <w:color w:val="auto"/>
          <w:sz w:val="32"/>
          <w:szCs w:val="32"/>
        </w:rPr>
      </w:pPr>
      <w:r>
        <w:rPr>
          <w:rFonts w:hint="eastAsia" w:ascii="黑体" w:hAnsi="黑体" w:eastAsia="黑体" w:cs="黑体"/>
          <w:color w:val="auto"/>
          <w:sz w:val="32"/>
          <w:szCs w:val="32"/>
        </w:rPr>
        <w:t>二、部门决算单位构成</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Style w:val="8"/>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color w:val="auto"/>
          <w:sz w:val="32"/>
          <w:szCs w:val="32"/>
        </w:rPr>
        <w:t>河池市农业机械化</w:t>
      </w:r>
      <w:r>
        <w:rPr>
          <w:rFonts w:hint="eastAsia" w:ascii="仿宋_GB2312" w:hAnsi="仿宋_GB2312" w:eastAsia="仿宋_GB2312" w:cs="仿宋_GB2312"/>
          <w:color w:val="auto"/>
          <w:sz w:val="32"/>
          <w:szCs w:val="32"/>
          <w:lang w:eastAsia="zh-CN"/>
        </w:rPr>
        <w:t>服务中心</w:t>
      </w:r>
      <w:r>
        <w:rPr>
          <w:rFonts w:hint="eastAsia" w:ascii="仿宋_GB2312" w:hAnsi="仿宋_GB2312" w:eastAsia="仿宋_GB2312" w:cs="仿宋_GB2312"/>
          <w:color w:val="auto"/>
          <w:sz w:val="32"/>
          <w:szCs w:val="32"/>
        </w:rPr>
        <w:t>是河池市人民政府直属参照公务员法管理的正处级事业单位。</w:t>
      </w:r>
    </w:p>
    <w:p>
      <w:pPr>
        <w:keepNext w:val="0"/>
        <w:keepLines w:val="0"/>
        <w:pageBreakBefore w:val="0"/>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eastAsia="zh-CN"/>
        </w:rPr>
        <w:t>单位内设</w:t>
      </w:r>
      <w:r>
        <w:rPr>
          <w:rFonts w:hint="eastAsia" w:ascii="仿宋_GB2312" w:hAnsi="仿宋_GB2312" w:eastAsia="仿宋_GB2312" w:cs="仿宋_GB2312"/>
          <w:b w:val="0"/>
          <w:bCs w:val="0"/>
          <w:color w:val="auto"/>
          <w:sz w:val="32"/>
          <w:szCs w:val="32"/>
          <w:lang w:val="en-US" w:eastAsia="zh-CN"/>
        </w:rPr>
        <w:t>6个科室，分别为：综合科、人事科、产业发展科、科技推广科、质量和信息化科、安全教育科。</w:t>
      </w:r>
    </w:p>
    <w:p>
      <w:pPr>
        <w:jc w:val="left"/>
        <w:rPr>
          <w:rFonts w:hint="eastAsia" w:ascii="黑体" w:hAnsi="黑体" w:eastAsia="黑体" w:cs="黑体"/>
          <w:color w:val="auto"/>
          <w:sz w:val="32"/>
          <w:szCs w:val="32"/>
        </w:rPr>
      </w:pPr>
    </w:p>
    <w:p>
      <w:pPr>
        <w:jc w:val="center"/>
        <w:rPr>
          <w:rFonts w:ascii="黑体" w:hAnsi="黑体" w:eastAsia="黑体" w:cs="黑体"/>
          <w:color w:val="auto"/>
          <w:sz w:val="32"/>
          <w:szCs w:val="32"/>
        </w:rPr>
      </w:pPr>
    </w:p>
    <w:p>
      <w:pPr>
        <w:jc w:val="center"/>
        <w:rPr>
          <w:rFonts w:ascii="黑体" w:hAnsi="黑体" w:eastAsia="黑体" w:cs="黑体"/>
          <w:color w:val="auto"/>
          <w:sz w:val="32"/>
          <w:szCs w:val="32"/>
        </w:rPr>
      </w:pPr>
    </w:p>
    <w:p>
      <w:pPr>
        <w:jc w:val="center"/>
        <w:rPr>
          <w:rFonts w:ascii="黑体" w:hAnsi="黑体" w:eastAsia="黑体" w:cs="黑体"/>
          <w:color w:val="auto"/>
          <w:sz w:val="32"/>
          <w:szCs w:val="32"/>
        </w:rPr>
        <w:sectPr>
          <w:headerReference r:id="rId5" w:type="default"/>
          <w:footerReference r:id="rId6" w:type="default"/>
          <w:pgSz w:w="11906" w:h="16838"/>
          <w:pgMar w:top="1440" w:right="1800" w:bottom="1440" w:left="1800" w:header="851" w:footer="992" w:gutter="0"/>
          <w:cols w:space="425" w:num="1"/>
          <w:docGrid w:type="lines" w:linePitch="312" w:charSpace="0"/>
        </w:sectPr>
      </w:pPr>
    </w:p>
    <w:p>
      <w:pPr>
        <w:jc w:val="center"/>
        <w:rPr>
          <w:rFonts w:ascii="黑体" w:hAnsi="黑体" w:eastAsia="黑体" w:cs="黑体"/>
          <w:color w:val="auto"/>
          <w:sz w:val="32"/>
          <w:szCs w:val="32"/>
        </w:rPr>
      </w:pPr>
      <w:r>
        <w:rPr>
          <w:rFonts w:hint="eastAsia" w:ascii="黑体" w:hAnsi="黑体" w:eastAsia="黑体" w:cs="黑体"/>
          <w:color w:val="auto"/>
          <w:sz w:val="32"/>
          <w:szCs w:val="32"/>
        </w:rPr>
        <w:t>第二部分：</w:t>
      </w:r>
      <w:r>
        <w:rPr>
          <w:rFonts w:ascii="黑体" w:hAnsi="黑体" w:eastAsia="黑体" w:cs="黑体"/>
          <w:color w:val="auto"/>
          <w:sz w:val="32"/>
        </w:rPr>
        <w:t>河池市农业机械化服务中心</w:t>
      </w:r>
      <w:r>
        <w:rPr>
          <w:rFonts w:hint="eastAsia" w:ascii="黑体" w:hAnsi="黑体" w:eastAsia="黑体" w:cs="黑体"/>
          <w:color w:val="auto"/>
          <w:sz w:val="32"/>
          <w:szCs w:val="32"/>
        </w:rPr>
        <w:t xml:space="preserve"> 2022年度部门决算报表</w:t>
      </w:r>
    </w:p>
    <w:tbl>
      <w:tblPr>
        <w:tblStyle w:val="6"/>
        <w:tblW w:w="13940" w:type="dxa"/>
        <w:tblInd w:w="96" w:type="dxa"/>
        <w:tblLayout w:type="fixed"/>
        <w:tblCellMar>
          <w:top w:w="0" w:type="dxa"/>
          <w:left w:w="108" w:type="dxa"/>
          <w:bottom w:w="0" w:type="dxa"/>
          <w:right w:w="108" w:type="dxa"/>
        </w:tblCellMar>
      </w:tblPr>
      <w:tblGrid>
        <w:gridCol w:w="2543"/>
        <w:gridCol w:w="2393"/>
        <w:gridCol w:w="2231"/>
        <w:gridCol w:w="2669"/>
        <w:gridCol w:w="2202"/>
        <w:gridCol w:w="1902"/>
      </w:tblGrid>
      <w:tr>
        <w:tblPrEx>
          <w:tblCellMar>
            <w:top w:w="0" w:type="dxa"/>
            <w:left w:w="108" w:type="dxa"/>
            <w:bottom w:w="0" w:type="dxa"/>
            <w:right w:w="108" w:type="dxa"/>
          </w:tblCellMar>
        </w:tblPrEx>
        <w:trPr>
          <w:trHeight w:val="902" w:hRule="atLeast"/>
        </w:trPr>
        <w:tc>
          <w:tcPr>
            <w:tcW w:w="13940" w:type="dxa"/>
            <w:gridSpan w:val="6"/>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jc w:val="left"/>
              <w:rPr>
                <w:rFonts w:hint="default" w:ascii="仿宋" w:hAnsi="仿宋" w:eastAsia="仿宋" w:cs="仿宋"/>
                <w:color w:val="auto"/>
                <w:sz w:val="24"/>
              </w:rPr>
            </w:pPr>
            <w:r>
              <w:rPr>
                <w:rFonts w:hint="eastAsia" w:ascii="仿宋" w:hAnsi="仿宋" w:eastAsia="仿宋" w:cs="仿宋"/>
                <w:color w:val="auto"/>
                <w:sz w:val="24"/>
              </w:rPr>
              <w:t>表一：收入支出决算总表</w:t>
            </w:r>
          </w:p>
          <w:p>
            <w:pPr>
              <w:keepNext w:val="0"/>
              <w:keepLines w:val="0"/>
              <w:suppressLineNumbers w:val="0"/>
              <w:spacing w:before="0" w:beforeAutospacing="0" w:after="0" w:afterAutospacing="0"/>
              <w:ind w:left="0" w:right="0"/>
              <w:jc w:val="left"/>
              <w:rPr>
                <w:rFonts w:hint="default" w:ascii="仿宋" w:hAnsi="仿宋" w:eastAsia="仿宋" w:cs="仿宋"/>
                <w:color w:val="auto"/>
                <w:sz w:val="24"/>
              </w:rPr>
            </w:pPr>
          </w:p>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rPr>
            </w:pPr>
            <w:r>
              <w:rPr>
                <w:rFonts w:hint="eastAsia" w:ascii="宋体" w:hAnsi="宋体" w:eastAsia="宋体" w:cs="宋体"/>
                <w:color w:val="auto"/>
                <w:kern w:val="0"/>
                <w:sz w:val="32"/>
                <w:szCs w:val="32"/>
              </w:rPr>
              <w:t>收入支出决算总表</w:t>
            </w:r>
          </w:p>
        </w:tc>
      </w:tr>
      <w:tr>
        <w:tblPrEx>
          <w:tblCellMar>
            <w:top w:w="0" w:type="dxa"/>
            <w:left w:w="108" w:type="dxa"/>
            <w:bottom w:w="0" w:type="dxa"/>
            <w:right w:w="108" w:type="dxa"/>
          </w:tblCellMar>
        </w:tblPrEx>
        <w:trPr>
          <w:trHeight w:val="301" w:hRule="atLeast"/>
        </w:trPr>
        <w:tc>
          <w:tcPr>
            <w:tcW w:w="254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39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231"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669"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202"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902"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公开01表</w:t>
            </w:r>
          </w:p>
        </w:tc>
      </w:tr>
      <w:tr>
        <w:tblPrEx>
          <w:tblCellMar>
            <w:top w:w="0" w:type="dxa"/>
            <w:left w:w="108" w:type="dxa"/>
            <w:bottom w:w="0" w:type="dxa"/>
            <w:right w:w="108" w:type="dxa"/>
          </w:tblCellMar>
        </w:tblPrEx>
        <w:trPr>
          <w:trHeight w:val="301" w:hRule="atLeast"/>
        </w:trPr>
        <w:tc>
          <w:tcPr>
            <w:tcW w:w="7167" w:type="dxa"/>
            <w:gridSpan w:val="3"/>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r>
              <w:rPr>
                <w:rFonts w:hint="eastAsia" w:ascii="宋体" w:hAnsi="宋体" w:eastAsia="宋体" w:cs="宋体"/>
                <w:color w:val="auto"/>
                <w:kern w:val="0"/>
                <w:sz w:val="20"/>
                <w:szCs w:val="20"/>
              </w:rPr>
              <w:t>部门：</w:t>
            </w:r>
            <w:r>
              <w:rPr>
                <w:rFonts w:hint="default" w:ascii="宋体" w:hAnsi="宋体" w:eastAsia="宋体" w:cs="宋体"/>
                <w:color w:val="auto"/>
                <w:sz w:val="20"/>
              </w:rPr>
              <w:t>河池市农业机械化服务中心</w:t>
            </w:r>
          </w:p>
        </w:tc>
        <w:tc>
          <w:tcPr>
            <w:tcW w:w="2669"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202"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902" w:type="dxa"/>
            <w:tcBorders>
              <w:top w:val="nil"/>
              <w:left w:val="nil"/>
              <w:bottom w:val="single" w:color="auto" w:sz="4" w:space="0"/>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金额单位：万元</w:t>
            </w:r>
          </w:p>
        </w:tc>
      </w:tr>
      <w:tr>
        <w:tblPrEx>
          <w:tblCellMar>
            <w:top w:w="0" w:type="dxa"/>
            <w:left w:w="108" w:type="dxa"/>
            <w:bottom w:w="0" w:type="dxa"/>
            <w:right w:w="108" w:type="dxa"/>
          </w:tblCellMar>
        </w:tblPrEx>
        <w:trPr>
          <w:trHeight w:val="315" w:hRule="atLeast"/>
        </w:trPr>
        <w:tc>
          <w:tcPr>
            <w:tcW w:w="716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收入</w:t>
            </w:r>
          </w:p>
        </w:tc>
        <w:tc>
          <w:tcPr>
            <w:tcW w:w="677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支出</w:t>
            </w:r>
          </w:p>
        </w:tc>
      </w:tr>
      <w:tr>
        <w:tblPrEx>
          <w:tblCellMar>
            <w:top w:w="0" w:type="dxa"/>
            <w:left w:w="108" w:type="dxa"/>
            <w:bottom w:w="0" w:type="dxa"/>
            <w:right w:w="108" w:type="dxa"/>
          </w:tblCellMar>
        </w:tblPrEx>
        <w:trPr>
          <w:trHeight w:val="315"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行次</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金额</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行次</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金额</w:t>
            </w:r>
          </w:p>
        </w:tc>
      </w:tr>
      <w:tr>
        <w:tblPrEx>
          <w:tblCellMar>
            <w:top w:w="0" w:type="dxa"/>
            <w:left w:w="108" w:type="dxa"/>
            <w:bottom w:w="0" w:type="dxa"/>
            <w:right w:w="108" w:type="dxa"/>
          </w:tblCellMar>
        </w:tblPrEx>
        <w:trPr>
          <w:trHeight w:val="315"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栏次</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1</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栏次</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2</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r>
              <w:rPr>
                <w:rFonts w:hint="eastAsia"/>
                <w:color w:val="auto"/>
              </w:rPr>
              <w:t>一、一般公共预算财政拨款收入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532.48</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一、一般公共服务支出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32</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r>
              <w:rPr>
                <w:rFonts w:hint="eastAsia"/>
                <w:color w:val="auto"/>
              </w:rPr>
              <w:t>二、政府性基金预算财政拨款收入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二、外交支出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33</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r>
              <w:rPr>
                <w:rFonts w:hint="eastAsia"/>
                <w:color w:val="auto"/>
              </w:rPr>
              <w:t>三、国有资本经营预算财政拨款收入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3</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三、国防支出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34</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r>
              <w:rPr>
                <w:rFonts w:hint="eastAsia"/>
                <w:color w:val="auto"/>
              </w:rPr>
              <w:t>四、上级补助收入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4</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四、公共安全支出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35</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r>
              <w:rPr>
                <w:rFonts w:hint="eastAsia"/>
                <w:color w:val="auto"/>
              </w:rPr>
              <w:t>五、事业收入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5</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五、教育支出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36</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2.50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r>
              <w:rPr>
                <w:rFonts w:hint="eastAsia"/>
                <w:color w:val="auto"/>
              </w:rPr>
              <w:t>六、经营收入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6</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六、科学技术支出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37</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r>
              <w:rPr>
                <w:rFonts w:hint="eastAsia"/>
                <w:color w:val="auto"/>
              </w:rPr>
              <w:t>七、附属单位上缴收入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7</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七、文化旅游体育与传媒支出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38</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r>
              <w:rPr>
                <w:rFonts w:hint="eastAsia"/>
                <w:color w:val="auto"/>
              </w:rPr>
              <w:t>八、其他收入</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8</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0.20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八、社会保障和就业支出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39</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47.92</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9</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九、卫生健康支出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40</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42.61</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10</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十、节能环保支出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41</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11</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十一、城乡社区支出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42</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12</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十二、农林水支出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43</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404.74</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13</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十三、交通运输支出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44</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14</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十四、资源勘探工业信息等支出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45</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15</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十五、商业服务业等支出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46</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16</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十六、金融支出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47</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17</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十七、援助其他地区支出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48</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18</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十八、自然资源海洋气象等支出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49</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19</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十九、住房保障支出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50</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34.91</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20</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二十、粮油物资储备支出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51</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21</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二十一、国有资本经营预算支出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52</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22</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二十二、灾害防治及应急管理支出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53</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23</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二十三、其他支出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54</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24</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二十四、债务还本支出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55</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25</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二十五、债务付息支出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56</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26</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二十六、抗疫特别国债安排的支出</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57</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r>
              <w:rPr>
                <w:rFonts w:hint="eastAsia"/>
                <w:color w:val="auto"/>
              </w:rPr>
              <w:t>本年收入合计</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27</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532.68</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本年支出合计</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58</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532.68</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r>
              <w:rPr>
                <w:rFonts w:hint="eastAsia"/>
                <w:color w:val="auto"/>
              </w:rPr>
              <w:t>使用非财政拨款结余</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28</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结余分配</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59</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r>
              <w:rPr>
                <w:rFonts w:hint="eastAsia"/>
                <w:color w:val="auto"/>
              </w:rPr>
              <w:t>年初结转和结余</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29</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2.17</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年末结转和结余</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60</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2.17</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30</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61</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34" w:hRule="atLeast"/>
        </w:trPr>
        <w:tc>
          <w:tcPr>
            <w:tcW w:w="254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color w:val="auto"/>
              </w:rPr>
            </w:pPr>
            <w:r>
              <w:rPr>
                <w:rFonts w:hint="eastAsia"/>
                <w:color w:val="auto"/>
              </w:rPr>
              <w:t>总计</w:t>
            </w:r>
          </w:p>
        </w:tc>
        <w:tc>
          <w:tcPr>
            <w:tcW w:w="23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31</w:t>
            </w:r>
          </w:p>
        </w:tc>
        <w:tc>
          <w:tcPr>
            <w:tcW w:w="2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534.85</w:t>
            </w:r>
          </w:p>
        </w:tc>
        <w:tc>
          <w:tcPr>
            <w:tcW w:w="26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总计</w:t>
            </w:r>
          </w:p>
        </w:tc>
        <w:tc>
          <w:tcPr>
            <w:tcW w:w="22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62</w:t>
            </w:r>
          </w:p>
        </w:tc>
        <w:tc>
          <w:tcPr>
            <w:tcW w:w="19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534.85</w:t>
            </w:r>
          </w:p>
        </w:tc>
      </w:tr>
    </w:tbl>
    <w:p>
      <w:pPr>
        <w:rPr>
          <w:rFonts w:ascii="宋体" w:hAnsi="宋体" w:eastAsia="宋体" w:cs="宋体"/>
          <w:color w:val="auto"/>
          <w:kern w:val="0"/>
          <w:sz w:val="30"/>
          <w:szCs w:val="30"/>
        </w:rPr>
      </w:pPr>
      <w:r>
        <w:rPr>
          <w:rFonts w:hint="eastAsia" w:ascii="宋体" w:hAnsi="宋体" w:eastAsia="宋体" w:cs="宋体"/>
          <w:color w:val="auto"/>
          <w:kern w:val="0"/>
          <w:sz w:val="30"/>
          <w:szCs w:val="30"/>
        </w:rPr>
        <w:br w:type="page"/>
      </w:r>
    </w:p>
    <w:tbl>
      <w:tblPr>
        <w:tblStyle w:val="6"/>
        <w:tblW w:w="13960" w:type="dxa"/>
        <w:tblInd w:w="96" w:type="dxa"/>
        <w:tblLayout w:type="fixed"/>
        <w:tblCellMar>
          <w:top w:w="0" w:type="dxa"/>
          <w:left w:w="108" w:type="dxa"/>
          <w:bottom w:w="0" w:type="dxa"/>
          <w:right w:w="108" w:type="dxa"/>
        </w:tblCellMar>
      </w:tblPr>
      <w:tblGrid>
        <w:gridCol w:w="1584"/>
        <w:gridCol w:w="1378"/>
        <w:gridCol w:w="236"/>
        <w:gridCol w:w="236"/>
        <w:gridCol w:w="524"/>
        <w:gridCol w:w="1520"/>
        <w:gridCol w:w="1453"/>
        <w:gridCol w:w="1373"/>
        <w:gridCol w:w="1467"/>
        <w:gridCol w:w="1480"/>
        <w:gridCol w:w="1440"/>
        <w:gridCol w:w="1269"/>
      </w:tblGrid>
      <w:tr>
        <w:tblPrEx>
          <w:tblCellMar>
            <w:top w:w="0" w:type="dxa"/>
            <w:left w:w="108" w:type="dxa"/>
            <w:bottom w:w="0" w:type="dxa"/>
            <w:right w:w="108" w:type="dxa"/>
          </w:tblCellMar>
        </w:tblPrEx>
        <w:trPr>
          <w:trHeight w:val="951" w:hRule="atLeast"/>
        </w:trPr>
        <w:tc>
          <w:tcPr>
            <w:tcW w:w="13960" w:type="dxa"/>
            <w:gridSpan w:val="1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jc w:val="left"/>
              <w:rPr>
                <w:rFonts w:hint="default" w:ascii="仿宋" w:hAnsi="仿宋" w:eastAsia="仿宋" w:cs="仿宋"/>
                <w:color w:val="auto"/>
                <w:sz w:val="24"/>
              </w:rPr>
            </w:pPr>
            <w:r>
              <w:rPr>
                <w:rFonts w:hint="eastAsia" w:ascii="仿宋" w:hAnsi="仿宋" w:eastAsia="仿宋" w:cs="仿宋"/>
                <w:color w:val="auto"/>
                <w:sz w:val="24"/>
              </w:rPr>
              <w:t>表二：收入决算表</w:t>
            </w:r>
          </w:p>
          <w:p>
            <w:pPr>
              <w:keepNext w:val="0"/>
              <w:keepLines w:val="0"/>
              <w:suppressLineNumbers w:val="0"/>
              <w:spacing w:before="0" w:beforeAutospacing="0" w:after="0" w:afterAutospacing="0"/>
              <w:ind w:left="0" w:right="0"/>
              <w:jc w:val="left"/>
              <w:rPr>
                <w:rFonts w:hint="default" w:ascii="仿宋" w:hAnsi="仿宋" w:eastAsia="仿宋" w:cs="仿宋"/>
                <w:color w:val="auto"/>
                <w:sz w:val="24"/>
              </w:rPr>
            </w:pPr>
          </w:p>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rPr>
            </w:pPr>
            <w:r>
              <w:rPr>
                <w:rFonts w:hint="eastAsia" w:ascii="宋体" w:hAnsi="宋体" w:eastAsia="宋体" w:cs="宋体"/>
                <w:color w:val="auto"/>
                <w:kern w:val="0"/>
                <w:sz w:val="32"/>
                <w:szCs w:val="32"/>
              </w:rPr>
              <w:t>收入决算表</w:t>
            </w:r>
          </w:p>
        </w:tc>
      </w:tr>
      <w:tr>
        <w:tblPrEx>
          <w:tblCellMar>
            <w:top w:w="0" w:type="dxa"/>
            <w:left w:w="108" w:type="dxa"/>
            <w:bottom w:w="0" w:type="dxa"/>
            <w:right w:w="108" w:type="dxa"/>
          </w:tblCellMar>
        </w:tblPrEx>
        <w:trPr>
          <w:trHeight w:val="317" w:hRule="atLeast"/>
        </w:trPr>
        <w:tc>
          <w:tcPr>
            <w:tcW w:w="2962" w:type="dxa"/>
            <w:gridSpan w:val="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3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3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524"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52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45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37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46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48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709" w:type="dxa"/>
            <w:gridSpan w:val="2"/>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公开02表</w:t>
            </w:r>
          </w:p>
        </w:tc>
      </w:tr>
      <w:tr>
        <w:tblPrEx>
          <w:tblCellMar>
            <w:top w:w="0" w:type="dxa"/>
            <w:left w:w="108" w:type="dxa"/>
            <w:bottom w:w="0" w:type="dxa"/>
            <w:right w:w="108" w:type="dxa"/>
          </w:tblCellMar>
        </w:tblPrEx>
        <w:trPr>
          <w:trHeight w:val="317" w:hRule="atLeast"/>
        </w:trPr>
        <w:tc>
          <w:tcPr>
            <w:tcW w:w="6931" w:type="dxa"/>
            <w:gridSpan w:val="7"/>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r>
              <w:rPr>
                <w:rFonts w:hint="eastAsia" w:ascii="宋体" w:hAnsi="宋体" w:eastAsia="宋体" w:cs="宋体"/>
                <w:color w:val="auto"/>
                <w:kern w:val="0"/>
                <w:sz w:val="20"/>
                <w:szCs w:val="20"/>
              </w:rPr>
              <w:t>部门：</w:t>
            </w:r>
            <w:r>
              <w:rPr>
                <w:rFonts w:hint="default" w:ascii="宋体" w:hAnsi="宋体" w:eastAsia="宋体" w:cs="宋体"/>
                <w:color w:val="auto"/>
                <w:sz w:val="20"/>
              </w:rPr>
              <w:t>河池市农业机械化服务中心</w:t>
            </w:r>
          </w:p>
        </w:tc>
        <w:tc>
          <w:tcPr>
            <w:tcW w:w="1373"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467"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480"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709" w:type="dxa"/>
            <w:gridSpan w:val="2"/>
            <w:tcBorders>
              <w:top w:val="nil"/>
              <w:left w:val="nil"/>
              <w:bottom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金额单位：万元</w:t>
            </w:r>
          </w:p>
        </w:tc>
      </w:tr>
      <w:tr>
        <w:tblPrEx>
          <w:tblCellMar>
            <w:top w:w="0" w:type="dxa"/>
            <w:left w:w="108" w:type="dxa"/>
            <w:bottom w:w="0" w:type="dxa"/>
            <w:right w:w="108" w:type="dxa"/>
          </w:tblCellMar>
        </w:tblPrEx>
        <w:trPr>
          <w:trHeight w:val="327" w:hRule="atLeast"/>
        </w:trPr>
        <w:tc>
          <w:tcPr>
            <w:tcW w:w="395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w:t>
            </w:r>
          </w:p>
        </w:tc>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本年收入合计</w:t>
            </w:r>
          </w:p>
        </w:tc>
        <w:tc>
          <w:tcPr>
            <w:tcW w:w="14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财政拨款收入</w:t>
            </w:r>
          </w:p>
        </w:tc>
        <w:tc>
          <w:tcPr>
            <w:tcW w:w="13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上级补助收入</w:t>
            </w:r>
          </w:p>
        </w:tc>
        <w:tc>
          <w:tcPr>
            <w:tcW w:w="14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事业收入</w:t>
            </w:r>
          </w:p>
        </w:tc>
        <w:tc>
          <w:tcPr>
            <w:tcW w:w="1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经营收入</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附属单位上缴收入</w:t>
            </w:r>
          </w:p>
        </w:tc>
        <w:tc>
          <w:tcPr>
            <w:tcW w:w="12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其他收入</w:t>
            </w:r>
          </w:p>
        </w:tc>
      </w:tr>
      <w:tr>
        <w:tblPrEx>
          <w:tblCellMar>
            <w:top w:w="0" w:type="dxa"/>
            <w:left w:w="108" w:type="dxa"/>
            <w:bottom w:w="0" w:type="dxa"/>
            <w:right w:w="108" w:type="dxa"/>
          </w:tblCellMar>
        </w:tblPrEx>
        <w:trPr>
          <w:trHeight w:val="327" w:hRule="atLeast"/>
        </w:trPr>
        <w:tc>
          <w:tcPr>
            <w:tcW w:w="15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功能分类科目编码</w:t>
            </w:r>
          </w:p>
        </w:tc>
        <w:tc>
          <w:tcPr>
            <w:tcW w:w="2374"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科目名称</w:t>
            </w:r>
          </w:p>
        </w:tc>
        <w:tc>
          <w:tcPr>
            <w:tcW w:w="15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3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2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327" w:hRule="atLeast"/>
        </w:trPr>
        <w:tc>
          <w:tcPr>
            <w:tcW w:w="15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374"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5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3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2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327" w:hRule="atLeast"/>
        </w:trPr>
        <w:tc>
          <w:tcPr>
            <w:tcW w:w="15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374"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5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3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2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327" w:hRule="atLeast"/>
        </w:trPr>
        <w:tc>
          <w:tcPr>
            <w:tcW w:w="395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栏次</w:t>
            </w:r>
          </w:p>
        </w:tc>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1</w:t>
            </w:r>
          </w:p>
        </w:tc>
        <w:tc>
          <w:tcPr>
            <w:tcW w:w="14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2</w:t>
            </w:r>
          </w:p>
        </w:tc>
        <w:tc>
          <w:tcPr>
            <w:tcW w:w="13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3</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4</w:t>
            </w:r>
          </w:p>
        </w:tc>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5</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6</w:t>
            </w:r>
          </w:p>
        </w:tc>
        <w:tc>
          <w:tcPr>
            <w:tcW w:w="12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7</w:t>
            </w:r>
          </w:p>
        </w:tc>
      </w:tr>
      <w:tr>
        <w:tblPrEx>
          <w:tblCellMar>
            <w:top w:w="0" w:type="dxa"/>
            <w:left w:w="108" w:type="dxa"/>
            <w:bottom w:w="0" w:type="dxa"/>
            <w:right w:w="108" w:type="dxa"/>
          </w:tblCellMar>
        </w:tblPrEx>
        <w:trPr>
          <w:trHeight w:val="961" w:hRule="atLeast"/>
        </w:trPr>
        <w:tc>
          <w:tcPr>
            <w:tcW w:w="395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合计</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rPr>
            </w:pPr>
            <w:r>
              <w:rPr>
                <w:rFonts w:hint="eastAsia" w:ascii="宋体" w:hAnsi="宋体" w:eastAsia="宋体" w:cs="宋体"/>
                <w:b/>
                <w:bCs/>
                <w:color w:val="auto"/>
                <w:sz w:val="22"/>
                <w:szCs w:val="22"/>
              </w:rPr>
              <w:t>532.68</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rPr>
            </w:pPr>
            <w:r>
              <w:rPr>
                <w:rFonts w:hint="eastAsia" w:ascii="宋体" w:hAnsi="宋体" w:eastAsia="宋体" w:cs="宋体"/>
                <w:b/>
                <w:bCs/>
                <w:color w:val="auto"/>
                <w:sz w:val="22"/>
                <w:szCs w:val="22"/>
              </w:rPr>
              <w:t>532.48</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0.20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2050803</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培训支出</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2.50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2.50</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2080505</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机关事业单位基本养老保险缴费支出</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46.55</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46.55</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2080801</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死亡抚恤</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1.37</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1.37</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2101101</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行政单位医疗</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19.94</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19.94</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2101103</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公务员医疗补助</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22.67</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22.67</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2130101</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行政运行</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376.04</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375.84</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0.20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2130102</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一般行政管理事务</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5.91</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5.91</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2130122</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农业生产发展</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22.79</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22.79</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7" w:hRule="atLeast"/>
        </w:trPr>
        <w:tc>
          <w:tcPr>
            <w:tcW w:w="15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2210201</w:t>
            </w:r>
          </w:p>
        </w:tc>
        <w:tc>
          <w:tcPr>
            <w:tcW w:w="2374"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住房公积金</w:t>
            </w:r>
          </w:p>
        </w:tc>
        <w:tc>
          <w:tcPr>
            <w:tcW w:w="1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34.91</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34.91</w:t>
            </w:r>
          </w:p>
        </w:tc>
        <w:tc>
          <w:tcPr>
            <w:tcW w:w="13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7" w:hRule="atLeast"/>
        </w:trPr>
        <w:tc>
          <w:tcPr>
            <w:tcW w:w="13960" w:type="dxa"/>
            <w:gridSpan w:val="12"/>
            <w:tcBorders>
              <w:top w:val="single" w:color="auto" w:sz="4" w:space="0"/>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注：本表反映部门本年度取得的各项收入情况。</w:t>
            </w:r>
          </w:p>
        </w:tc>
      </w:tr>
    </w:tbl>
    <w:p>
      <w:pPr>
        <w:jc w:val="center"/>
        <w:rPr>
          <w:rFonts w:ascii="仿宋" w:hAnsi="仿宋" w:eastAsia="仿宋" w:cs="仿宋"/>
          <w:color w:val="auto"/>
          <w:sz w:val="24"/>
        </w:rPr>
      </w:pPr>
    </w:p>
    <w:p>
      <w:pPr>
        <w:rPr>
          <w:rFonts w:ascii="仿宋" w:hAnsi="仿宋" w:eastAsia="仿宋" w:cs="仿宋"/>
          <w:color w:val="auto"/>
          <w:sz w:val="24"/>
        </w:rPr>
      </w:pPr>
      <w:r>
        <w:rPr>
          <w:rFonts w:ascii="仿宋" w:hAnsi="仿宋" w:eastAsia="仿宋" w:cs="仿宋"/>
          <w:color w:val="auto"/>
          <w:sz w:val="24"/>
        </w:rPr>
        <w:br w:type="page"/>
      </w:r>
    </w:p>
    <w:p>
      <w:pPr>
        <w:jc w:val="center"/>
        <w:rPr>
          <w:rFonts w:ascii="仿宋" w:hAnsi="仿宋" w:eastAsia="仿宋" w:cs="仿宋"/>
          <w:color w:val="auto"/>
          <w:sz w:val="24"/>
        </w:rPr>
      </w:pPr>
    </w:p>
    <w:p>
      <w:pPr>
        <w:jc w:val="left"/>
        <w:rPr>
          <w:rFonts w:ascii="仿宋" w:hAnsi="仿宋" w:eastAsia="仿宋" w:cs="仿宋"/>
          <w:color w:val="auto"/>
          <w:sz w:val="24"/>
        </w:rPr>
      </w:pPr>
      <w:r>
        <w:rPr>
          <w:rFonts w:hint="eastAsia" w:ascii="仿宋" w:hAnsi="仿宋" w:eastAsia="仿宋" w:cs="仿宋"/>
          <w:color w:val="auto"/>
          <w:sz w:val="24"/>
        </w:rPr>
        <w:t>表三：支出决算表</w:t>
      </w:r>
    </w:p>
    <w:p>
      <w:pPr>
        <w:jc w:val="left"/>
        <w:rPr>
          <w:rFonts w:ascii="仿宋" w:hAnsi="仿宋" w:eastAsia="仿宋" w:cs="仿宋"/>
          <w:color w:val="auto"/>
          <w:sz w:val="24"/>
        </w:rPr>
      </w:pPr>
    </w:p>
    <w:tbl>
      <w:tblPr>
        <w:tblStyle w:val="6"/>
        <w:tblW w:w="13980" w:type="dxa"/>
        <w:tblInd w:w="96" w:type="dxa"/>
        <w:tblLayout w:type="fixed"/>
        <w:tblCellMar>
          <w:top w:w="0" w:type="dxa"/>
          <w:left w:w="108" w:type="dxa"/>
          <w:bottom w:w="0" w:type="dxa"/>
          <w:right w:w="108" w:type="dxa"/>
        </w:tblCellMar>
      </w:tblPr>
      <w:tblGrid>
        <w:gridCol w:w="1142"/>
        <w:gridCol w:w="237"/>
        <w:gridCol w:w="239"/>
        <w:gridCol w:w="64"/>
        <w:gridCol w:w="2222"/>
        <w:gridCol w:w="1627"/>
        <w:gridCol w:w="1680"/>
        <w:gridCol w:w="1760"/>
        <w:gridCol w:w="1653"/>
        <w:gridCol w:w="1654"/>
        <w:gridCol w:w="1702"/>
      </w:tblGrid>
      <w:tr>
        <w:tblPrEx>
          <w:tblCellMar>
            <w:top w:w="0" w:type="dxa"/>
            <w:left w:w="108" w:type="dxa"/>
            <w:bottom w:w="0" w:type="dxa"/>
            <w:right w:w="108" w:type="dxa"/>
          </w:tblCellMar>
        </w:tblPrEx>
        <w:trPr>
          <w:trHeight w:val="623" w:hRule="atLeast"/>
        </w:trPr>
        <w:tc>
          <w:tcPr>
            <w:tcW w:w="13980" w:type="dxa"/>
            <w:gridSpan w:val="11"/>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30"/>
                <w:szCs w:val="30"/>
              </w:rPr>
            </w:pPr>
            <w:r>
              <w:rPr>
                <w:rFonts w:hint="eastAsia" w:ascii="宋体" w:hAnsi="宋体" w:eastAsia="宋体" w:cs="宋体"/>
                <w:color w:val="auto"/>
                <w:kern w:val="0"/>
                <w:sz w:val="32"/>
                <w:szCs w:val="32"/>
              </w:rPr>
              <w:t>支出决算表</w:t>
            </w:r>
          </w:p>
        </w:tc>
      </w:tr>
      <w:tr>
        <w:tblPrEx>
          <w:tblCellMar>
            <w:top w:w="0" w:type="dxa"/>
            <w:left w:w="108" w:type="dxa"/>
            <w:bottom w:w="0" w:type="dxa"/>
            <w:right w:w="108" w:type="dxa"/>
          </w:tblCellMar>
        </w:tblPrEx>
        <w:trPr>
          <w:trHeight w:val="312" w:hRule="atLeast"/>
        </w:trPr>
        <w:tc>
          <w:tcPr>
            <w:tcW w:w="1142"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37"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303" w:type="dxa"/>
            <w:gridSpan w:val="2"/>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222"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627"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680"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760"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653"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654"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702"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公开03表</w:t>
            </w:r>
          </w:p>
        </w:tc>
      </w:tr>
      <w:tr>
        <w:tblPrEx>
          <w:tblCellMar>
            <w:top w:w="0" w:type="dxa"/>
            <w:left w:w="108" w:type="dxa"/>
            <w:bottom w:w="0" w:type="dxa"/>
            <w:right w:w="108" w:type="dxa"/>
          </w:tblCellMar>
        </w:tblPrEx>
        <w:trPr>
          <w:trHeight w:val="312" w:hRule="atLeast"/>
        </w:trPr>
        <w:tc>
          <w:tcPr>
            <w:tcW w:w="8971" w:type="dxa"/>
            <w:gridSpan w:val="8"/>
            <w:tcBorders>
              <w:top w:val="nil"/>
              <w:left w:val="nil"/>
              <w:bottom w:val="single" w:color="auto" w:sz="4" w:space="0"/>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rPr>
            </w:pPr>
            <w:r>
              <w:rPr>
                <w:rFonts w:hint="eastAsia" w:ascii="宋体" w:hAnsi="宋体" w:eastAsia="宋体" w:cs="宋体"/>
                <w:color w:val="auto"/>
                <w:kern w:val="0"/>
                <w:sz w:val="20"/>
                <w:szCs w:val="20"/>
              </w:rPr>
              <w:t>部门：</w:t>
            </w:r>
            <w:r>
              <w:rPr>
                <w:rFonts w:hint="default" w:ascii="宋体" w:hAnsi="宋体" w:eastAsia="宋体" w:cs="宋体"/>
                <w:color w:val="auto"/>
                <w:sz w:val="20"/>
              </w:rPr>
              <w:t>河池市农业机械化服务中心</w:t>
            </w:r>
          </w:p>
        </w:tc>
        <w:tc>
          <w:tcPr>
            <w:tcW w:w="1653" w:type="dxa"/>
            <w:tcBorders>
              <w:top w:val="nil"/>
              <w:left w:val="nil"/>
              <w:bottom w:val="single" w:color="auto" w:sz="4" w:space="0"/>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654" w:type="dxa"/>
            <w:tcBorders>
              <w:top w:val="nil"/>
              <w:left w:val="nil"/>
              <w:bottom w:val="single" w:color="auto" w:sz="4" w:space="0"/>
              <w:right w:val="nil"/>
            </w:tcBorders>
            <w:shd w:val="clear" w:color="auto" w:fill="auto"/>
            <w:noWrap/>
            <w:vAlign w:val="center"/>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702" w:type="dxa"/>
            <w:tcBorders>
              <w:top w:val="nil"/>
              <w:left w:val="nil"/>
              <w:bottom w:val="single" w:color="auto" w:sz="4" w:space="0"/>
              <w:right w:val="nil"/>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金额单位：万元</w:t>
            </w:r>
          </w:p>
        </w:tc>
      </w:tr>
      <w:tr>
        <w:tblPrEx>
          <w:tblCellMar>
            <w:top w:w="0" w:type="dxa"/>
            <w:left w:w="108" w:type="dxa"/>
            <w:bottom w:w="0" w:type="dxa"/>
            <w:right w:w="108" w:type="dxa"/>
          </w:tblCellMar>
        </w:tblPrEx>
        <w:trPr>
          <w:trHeight w:val="322" w:hRule="atLeast"/>
        </w:trPr>
        <w:tc>
          <w:tcPr>
            <w:tcW w:w="3904"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w:t>
            </w:r>
          </w:p>
        </w:tc>
        <w:tc>
          <w:tcPr>
            <w:tcW w:w="16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本年支出合计</w:t>
            </w:r>
          </w:p>
        </w:tc>
        <w:tc>
          <w:tcPr>
            <w:tcW w:w="1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基本支出</w:t>
            </w:r>
          </w:p>
        </w:tc>
        <w:tc>
          <w:tcPr>
            <w:tcW w:w="17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项目支出</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上缴上级支出</w:t>
            </w:r>
          </w:p>
        </w:tc>
        <w:tc>
          <w:tcPr>
            <w:tcW w:w="16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经营支出</w:t>
            </w:r>
          </w:p>
        </w:tc>
        <w:tc>
          <w:tcPr>
            <w:tcW w:w="17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对附属单位补助支出</w:t>
            </w:r>
          </w:p>
        </w:tc>
      </w:tr>
      <w:tr>
        <w:tblPrEx>
          <w:tblCellMar>
            <w:top w:w="0" w:type="dxa"/>
            <w:left w:w="108" w:type="dxa"/>
            <w:bottom w:w="0" w:type="dxa"/>
            <w:right w:w="108" w:type="dxa"/>
          </w:tblCellMar>
        </w:tblPrEx>
        <w:trPr>
          <w:trHeight w:val="322" w:hRule="atLeast"/>
        </w:trPr>
        <w:tc>
          <w:tcPr>
            <w:tcW w:w="161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功能分类科目编码</w:t>
            </w:r>
          </w:p>
        </w:tc>
        <w:tc>
          <w:tcPr>
            <w:tcW w:w="2286"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科目名称</w:t>
            </w:r>
          </w:p>
        </w:tc>
        <w:tc>
          <w:tcPr>
            <w:tcW w:w="16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465" w:hRule="atLeast"/>
        </w:trPr>
        <w:tc>
          <w:tcPr>
            <w:tcW w:w="1618"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286"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837" w:hRule="atLeast"/>
        </w:trPr>
        <w:tc>
          <w:tcPr>
            <w:tcW w:w="1618"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286"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2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7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322" w:hRule="atLeast"/>
        </w:trPr>
        <w:tc>
          <w:tcPr>
            <w:tcW w:w="3904"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栏次</w:t>
            </w:r>
          </w:p>
        </w:tc>
        <w:tc>
          <w:tcPr>
            <w:tcW w:w="16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1</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2</w:t>
            </w:r>
          </w:p>
        </w:tc>
        <w:tc>
          <w:tcPr>
            <w:tcW w:w="17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3</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4</w:t>
            </w: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5</w:t>
            </w:r>
          </w:p>
        </w:tc>
        <w:tc>
          <w:tcPr>
            <w:tcW w:w="1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6</w:t>
            </w:r>
          </w:p>
        </w:tc>
      </w:tr>
      <w:tr>
        <w:tblPrEx>
          <w:tblCellMar>
            <w:top w:w="0" w:type="dxa"/>
            <w:left w:w="108" w:type="dxa"/>
            <w:bottom w:w="0" w:type="dxa"/>
            <w:right w:w="108" w:type="dxa"/>
          </w:tblCellMar>
        </w:tblPrEx>
        <w:trPr>
          <w:trHeight w:val="633" w:hRule="atLeast"/>
        </w:trPr>
        <w:tc>
          <w:tcPr>
            <w:tcW w:w="3904"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合计</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rPr>
            </w:pPr>
            <w:r>
              <w:rPr>
                <w:rFonts w:hint="default" w:ascii="宋体" w:hAnsi="宋体" w:eastAsia="宋体" w:cs="宋体"/>
                <w:b/>
                <w:bCs/>
                <w:color w:val="auto"/>
                <w:sz w:val="22"/>
                <w:szCs w:val="22"/>
              </w:rPr>
              <w:t>532.68</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rPr>
            </w:pPr>
            <w:r>
              <w:rPr>
                <w:rFonts w:hint="default" w:ascii="宋体" w:hAnsi="宋体" w:eastAsia="宋体" w:cs="宋体"/>
                <w:b/>
                <w:bCs/>
                <w:color w:val="auto"/>
                <w:sz w:val="22"/>
                <w:szCs w:val="22"/>
              </w:rPr>
              <w:t>493.99</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rPr>
            </w:pPr>
            <w:r>
              <w:rPr>
                <w:rFonts w:hint="eastAsia" w:ascii="宋体" w:hAnsi="宋体" w:eastAsia="宋体" w:cs="宋体"/>
                <w:b/>
                <w:bCs/>
                <w:color w:val="auto"/>
                <w:sz w:val="22"/>
                <w:szCs w:val="22"/>
              </w:rPr>
              <w:t>38.69</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default" w:ascii="宋体" w:hAnsi="宋体" w:eastAsia="宋体" w:cs="宋体"/>
                <w:b/>
                <w:bCs/>
                <w:color w:val="auto"/>
                <w:sz w:val="22"/>
                <w:szCs w:val="22"/>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2050803</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培训支出</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2.50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2.50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2080505</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机关事业单位基本养老保险缴费支出</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46.55</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46.55</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2080801</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死亡抚恤</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1.37</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1.37</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2101101</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行政单位医疗</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19.94</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19.94</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2101103</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公务员医疗补助</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22.67</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22.67</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2130101</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行政运行</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376.04</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366.04</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10.00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2130102</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一般行政管理事务</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5.91</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5.91</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2130122</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农业生产发展</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22.79</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22.79</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2" w:hRule="atLeast"/>
        </w:trPr>
        <w:tc>
          <w:tcPr>
            <w:tcW w:w="161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2210201</w:t>
            </w:r>
          </w:p>
        </w:tc>
        <w:tc>
          <w:tcPr>
            <w:tcW w:w="228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住房公积金</w:t>
            </w: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34.91</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34.91</w:t>
            </w:r>
          </w:p>
        </w:tc>
        <w:tc>
          <w:tcPr>
            <w:tcW w:w="1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16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17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22" w:hRule="atLeast"/>
        </w:trPr>
        <w:tc>
          <w:tcPr>
            <w:tcW w:w="13980" w:type="dxa"/>
            <w:gridSpan w:val="11"/>
            <w:tcBorders>
              <w:top w:val="single" w:color="auto" w:sz="4" w:space="0"/>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注：本表反映部门本年度各项支出情况。</w:t>
            </w:r>
          </w:p>
        </w:tc>
      </w:tr>
    </w:tbl>
    <w:p>
      <w:pPr>
        <w:rPr>
          <w:rFonts w:ascii="仿宋" w:hAnsi="仿宋" w:eastAsia="仿宋" w:cs="仿宋"/>
          <w:color w:val="auto"/>
          <w:sz w:val="24"/>
        </w:rPr>
      </w:pPr>
      <w:r>
        <w:rPr>
          <w:rFonts w:ascii="仿宋" w:hAnsi="仿宋" w:eastAsia="仿宋" w:cs="仿宋"/>
          <w:color w:val="auto"/>
          <w:sz w:val="24"/>
        </w:rPr>
        <w:br w:type="page"/>
      </w:r>
    </w:p>
    <w:p>
      <w:pPr>
        <w:jc w:val="center"/>
        <w:rPr>
          <w:rFonts w:ascii="仿宋" w:hAnsi="仿宋" w:eastAsia="仿宋" w:cs="仿宋"/>
          <w:color w:val="auto"/>
          <w:sz w:val="24"/>
        </w:rPr>
      </w:pPr>
    </w:p>
    <w:p>
      <w:pPr>
        <w:jc w:val="left"/>
        <w:rPr>
          <w:rFonts w:ascii="仿宋" w:hAnsi="仿宋" w:eastAsia="仿宋" w:cs="仿宋"/>
          <w:color w:val="auto"/>
          <w:sz w:val="24"/>
        </w:rPr>
      </w:pPr>
      <w:r>
        <w:rPr>
          <w:rFonts w:hint="eastAsia" w:ascii="仿宋" w:hAnsi="仿宋" w:eastAsia="仿宋" w:cs="仿宋"/>
          <w:color w:val="auto"/>
          <w:sz w:val="24"/>
        </w:rPr>
        <w:t>表四：财政拨款收入支出决算总表</w:t>
      </w:r>
    </w:p>
    <w:p>
      <w:pPr>
        <w:jc w:val="left"/>
        <w:rPr>
          <w:rFonts w:ascii="仿宋" w:hAnsi="仿宋" w:eastAsia="仿宋" w:cs="仿宋"/>
          <w:color w:val="auto"/>
          <w:sz w:val="24"/>
        </w:rPr>
      </w:pPr>
    </w:p>
    <w:tbl>
      <w:tblPr>
        <w:tblStyle w:val="6"/>
        <w:tblW w:w="4966" w:type="pct"/>
        <w:tblInd w:w="0" w:type="dxa"/>
        <w:tblLayout w:type="fixed"/>
        <w:tblCellMar>
          <w:top w:w="0" w:type="dxa"/>
          <w:left w:w="108" w:type="dxa"/>
          <w:bottom w:w="0" w:type="dxa"/>
          <w:right w:w="108" w:type="dxa"/>
        </w:tblCellMar>
      </w:tblPr>
      <w:tblGrid>
        <w:gridCol w:w="2213"/>
        <w:gridCol w:w="786"/>
        <w:gridCol w:w="1306"/>
        <w:gridCol w:w="2359"/>
        <w:gridCol w:w="850"/>
        <w:gridCol w:w="1090"/>
        <w:gridCol w:w="1771"/>
        <w:gridCol w:w="1808"/>
        <w:gridCol w:w="1895"/>
      </w:tblGrid>
      <w:tr>
        <w:tblPrEx>
          <w:tblCellMar>
            <w:top w:w="0" w:type="dxa"/>
            <w:left w:w="108" w:type="dxa"/>
            <w:bottom w:w="0" w:type="dxa"/>
            <w:right w:w="108" w:type="dxa"/>
          </w:tblCellMar>
        </w:tblPrEx>
        <w:trPr>
          <w:trHeight w:val="520" w:hRule="atLeast"/>
        </w:trPr>
        <w:tc>
          <w:tcPr>
            <w:tcW w:w="5000" w:type="pct"/>
            <w:gridSpan w:val="9"/>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rPr>
            </w:pPr>
            <w:r>
              <w:rPr>
                <w:rFonts w:hint="eastAsia" w:ascii="宋体" w:hAnsi="宋体" w:eastAsia="宋体" w:cs="宋体"/>
                <w:color w:val="auto"/>
                <w:kern w:val="0"/>
                <w:sz w:val="32"/>
                <w:szCs w:val="32"/>
              </w:rPr>
              <w:t>财政拨款收入支出决算总表</w:t>
            </w:r>
          </w:p>
        </w:tc>
      </w:tr>
      <w:tr>
        <w:tblPrEx>
          <w:tblCellMar>
            <w:top w:w="0" w:type="dxa"/>
            <w:left w:w="108" w:type="dxa"/>
            <w:bottom w:w="0" w:type="dxa"/>
            <w:right w:w="108" w:type="dxa"/>
          </w:tblCellMar>
        </w:tblPrEx>
        <w:trPr>
          <w:trHeight w:val="260" w:hRule="atLeast"/>
        </w:trPr>
        <w:tc>
          <w:tcPr>
            <w:tcW w:w="786"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79"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464"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838"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302"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386"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629"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640" w:type="pct"/>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672" w:type="pct"/>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公开04表</w:t>
            </w:r>
          </w:p>
        </w:tc>
      </w:tr>
      <w:tr>
        <w:tblPrEx>
          <w:tblCellMar>
            <w:top w:w="0" w:type="dxa"/>
            <w:left w:w="108" w:type="dxa"/>
            <w:bottom w:w="0" w:type="dxa"/>
            <w:right w:w="108" w:type="dxa"/>
          </w:tblCellMar>
        </w:tblPrEx>
        <w:trPr>
          <w:trHeight w:val="260" w:hRule="atLeast"/>
        </w:trPr>
        <w:tc>
          <w:tcPr>
            <w:tcW w:w="3056" w:type="pct"/>
            <w:gridSpan w:val="6"/>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r>
              <w:rPr>
                <w:rFonts w:hint="eastAsia" w:ascii="宋体" w:hAnsi="宋体" w:eastAsia="宋体" w:cs="宋体"/>
                <w:color w:val="auto"/>
                <w:kern w:val="0"/>
                <w:sz w:val="20"/>
                <w:szCs w:val="20"/>
              </w:rPr>
              <w:t>部门：</w:t>
            </w:r>
            <w:r>
              <w:rPr>
                <w:rFonts w:hint="default" w:ascii="宋体" w:hAnsi="宋体" w:eastAsia="宋体" w:cs="宋体"/>
                <w:color w:val="auto"/>
                <w:sz w:val="20"/>
              </w:rPr>
              <w:t>河池市农业机械化服务中心</w:t>
            </w:r>
          </w:p>
        </w:tc>
        <w:tc>
          <w:tcPr>
            <w:tcW w:w="629" w:type="pct"/>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640" w:type="pct"/>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672" w:type="pct"/>
            <w:tcBorders>
              <w:top w:val="nil"/>
              <w:left w:val="nil"/>
              <w:bottom w:val="single" w:color="auto" w:sz="4" w:space="0"/>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金额单位：万元</w:t>
            </w:r>
          </w:p>
        </w:tc>
      </w:tr>
      <w:tr>
        <w:tblPrEx>
          <w:tblCellMar>
            <w:top w:w="0" w:type="dxa"/>
            <w:left w:w="108" w:type="dxa"/>
            <w:bottom w:w="0" w:type="dxa"/>
            <w:right w:w="108" w:type="dxa"/>
          </w:tblCellMar>
        </w:tblPrEx>
        <w:trPr>
          <w:trHeight w:val="268" w:hRule="atLeast"/>
        </w:trPr>
        <w:tc>
          <w:tcPr>
            <w:tcW w:w="152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收     入</w:t>
            </w:r>
          </w:p>
        </w:tc>
        <w:tc>
          <w:tcPr>
            <w:tcW w:w="3470" w:type="pct"/>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支     出</w:t>
            </w:r>
          </w:p>
        </w:tc>
      </w:tr>
      <w:tr>
        <w:tblPrEx>
          <w:tblCellMar>
            <w:top w:w="0" w:type="dxa"/>
            <w:left w:w="108" w:type="dxa"/>
            <w:bottom w:w="0" w:type="dxa"/>
            <w:right w:w="108" w:type="dxa"/>
          </w:tblCellMar>
        </w:tblPrEx>
        <w:trPr>
          <w:trHeight w:val="312" w:hRule="atLeast"/>
        </w:trPr>
        <w:tc>
          <w:tcPr>
            <w:tcW w:w="7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w:t>
            </w:r>
          </w:p>
        </w:tc>
        <w:tc>
          <w:tcPr>
            <w:tcW w:w="27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行次</w:t>
            </w:r>
          </w:p>
        </w:tc>
        <w:tc>
          <w:tcPr>
            <w:tcW w:w="46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金额</w:t>
            </w:r>
          </w:p>
        </w:tc>
        <w:tc>
          <w:tcPr>
            <w:tcW w:w="83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w:t>
            </w:r>
          </w:p>
        </w:tc>
        <w:tc>
          <w:tcPr>
            <w:tcW w:w="30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行次</w:t>
            </w:r>
          </w:p>
        </w:tc>
        <w:tc>
          <w:tcPr>
            <w:tcW w:w="386"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合计</w:t>
            </w:r>
          </w:p>
        </w:tc>
        <w:tc>
          <w:tcPr>
            <w:tcW w:w="6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一般公共预算财政拨款</w:t>
            </w:r>
          </w:p>
        </w:tc>
        <w:tc>
          <w:tcPr>
            <w:tcW w:w="6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政府性基金预算财政拨款</w:t>
            </w:r>
          </w:p>
        </w:tc>
        <w:tc>
          <w:tcPr>
            <w:tcW w:w="6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国有资本经营预算财政拨款</w:t>
            </w:r>
          </w:p>
        </w:tc>
      </w:tr>
      <w:tr>
        <w:tblPrEx>
          <w:tblCellMar>
            <w:top w:w="0" w:type="dxa"/>
            <w:left w:w="108" w:type="dxa"/>
            <w:bottom w:w="0" w:type="dxa"/>
            <w:right w:w="108" w:type="dxa"/>
          </w:tblCellMar>
        </w:tblPrEx>
        <w:trPr>
          <w:trHeight w:val="536" w:hRule="atLeast"/>
        </w:trPr>
        <w:tc>
          <w:tcPr>
            <w:tcW w:w="7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7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46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83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0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8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62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67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栏次</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1</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栏次</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2</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3</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4</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5</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一、一般公共预算财政拨款</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1</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532.48</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一、一般公共服务支出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33</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二、政府性基金预算财政拨款</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2</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二、外交支出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34</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三、国有资本经营预算财政拨款</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3</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三、国防支出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35</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4</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四、公共安全支出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36</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5</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五、教育支出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37</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2.50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2.50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6</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六、科学技术支出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38</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7</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七、文化旅游体育与传媒支出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39</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8</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八、社会保障和就业支出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40</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47.92</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47.92</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9</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九、卫生健康支出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41</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42.61</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42.61</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10</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十、节能环保支出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42</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11</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十一、城乡社区支出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43</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12</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十二、农林水支出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44</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404.54</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404.54</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13</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十三、交通运输支出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45</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14</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十四、资源勘探工业信息等支出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46</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15</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十五、商业服务业等支出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47</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16</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十六、金融支出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48</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17</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十七、援助其他地区支出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49</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18</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十八、自然资源海洋气象等支出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50</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19</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十九、住房保障支出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51</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34.91</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34.91</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20</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二十、粮油物资储备支出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52</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21</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二十一、国有资本经营预算支出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53</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22</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二十二、灾害防治及应急管理支出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54</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23</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二十三、其他支出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55</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24</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二十四、债务还本支出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56</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25</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二十五、债务付息支出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57</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26</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二十六、抗疫特别国债安排的支出</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58</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本年收入合计</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27</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532.48</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本年支出合计</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59</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532.48</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532.48</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年初财政拨款结转和结余</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28</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年末财政拨款结转和结余</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60</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 xml:space="preserve">  一般公共预算财政拨款</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29</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61</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 xml:space="preserve">  政府性基金预算财政拨款</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30</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62</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 xml:space="preserve">  国有资本经营预算财政拨款</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31</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63</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0.00</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7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总计</w:t>
            </w:r>
          </w:p>
        </w:tc>
        <w:tc>
          <w:tcPr>
            <w:tcW w:w="27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eastAsia" w:ascii="宋体" w:hAnsi="宋体" w:eastAsia="宋体" w:cs="宋体"/>
                <w:color w:val="auto"/>
                <w:sz w:val="22"/>
                <w:szCs w:val="22"/>
              </w:rPr>
              <w:t>32</w:t>
            </w:r>
          </w:p>
        </w:tc>
        <w:tc>
          <w:tcPr>
            <w:tcW w:w="46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532.48</w:t>
            </w:r>
          </w:p>
        </w:tc>
        <w:tc>
          <w:tcPr>
            <w:tcW w:w="8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总计</w:t>
            </w:r>
          </w:p>
        </w:tc>
        <w:tc>
          <w:tcPr>
            <w:tcW w:w="30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r>
              <w:rPr>
                <w:rFonts w:hint="default" w:ascii="宋体" w:hAnsi="宋体" w:eastAsia="宋体" w:cs="宋体"/>
                <w:color w:val="auto"/>
                <w:sz w:val="22"/>
                <w:szCs w:val="22"/>
              </w:rPr>
              <w:t>64</w:t>
            </w:r>
          </w:p>
        </w:tc>
        <w:tc>
          <w:tcPr>
            <w:tcW w:w="38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532.48</w:t>
            </w:r>
          </w:p>
        </w:tc>
        <w:tc>
          <w:tcPr>
            <w:tcW w:w="62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532.48</w:t>
            </w:r>
          </w:p>
        </w:tc>
        <w:tc>
          <w:tcPr>
            <w:tcW w:w="64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c>
          <w:tcPr>
            <w:tcW w:w="67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268" w:hRule="atLeast"/>
        </w:trPr>
        <w:tc>
          <w:tcPr>
            <w:tcW w:w="4327" w:type="pct"/>
            <w:gridSpan w:val="8"/>
            <w:tcBorders>
              <w:top w:val="single" w:color="auto" w:sz="4" w:space="0"/>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注：本表反映部门本年度一般公共预算财政拨款、政府性基金预算财政拨款和国有资本经营预算财政拨款的总收支和年末结转结余情况。</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c>
          <w:tcPr>
            <w:tcW w:w="672" w:type="pct"/>
            <w:tcBorders>
              <w:top w:val="single" w:color="auto" w:sz="4" w:space="0"/>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0"/>
                <w:szCs w:val="20"/>
              </w:rPr>
            </w:pPr>
          </w:p>
        </w:tc>
      </w:tr>
    </w:tbl>
    <w:p>
      <w:pPr>
        <w:jc w:val="left"/>
        <w:rPr>
          <w:rFonts w:ascii="仿宋" w:hAnsi="仿宋" w:eastAsia="仿宋" w:cs="仿宋"/>
          <w:color w:val="auto"/>
          <w:sz w:val="24"/>
        </w:rPr>
      </w:pPr>
    </w:p>
    <w:p>
      <w:pPr>
        <w:rPr>
          <w:rFonts w:ascii="仿宋" w:hAnsi="仿宋" w:eastAsia="仿宋" w:cs="仿宋"/>
          <w:color w:val="auto"/>
          <w:sz w:val="24"/>
        </w:rPr>
      </w:pPr>
      <w:r>
        <w:rPr>
          <w:rFonts w:ascii="仿宋" w:hAnsi="仿宋" w:eastAsia="仿宋" w:cs="仿宋"/>
          <w:color w:val="auto"/>
          <w:sz w:val="24"/>
        </w:rPr>
        <w:br w:type="page"/>
      </w:r>
    </w:p>
    <w:p>
      <w:pPr>
        <w:jc w:val="left"/>
        <w:rPr>
          <w:rFonts w:ascii="仿宋" w:hAnsi="仿宋" w:eastAsia="仿宋" w:cs="仿宋"/>
          <w:color w:val="auto"/>
          <w:sz w:val="24"/>
        </w:rPr>
      </w:pPr>
    </w:p>
    <w:p>
      <w:pPr>
        <w:jc w:val="left"/>
        <w:rPr>
          <w:rFonts w:ascii="仿宋" w:hAnsi="仿宋" w:eastAsia="仿宋" w:cs="仿宋"/>
          <w:color w:val="auto"/>
          <w:sz w:val="24"/>
        </w:rPr>
      </w:pPr>
      <w:r>
        <w:rPr>
          <w:rFonts w:hint="eastAsia" w:ascii="仿宋" w:hAnsi="仿宋" w:eastAsia="仿宋" w:cs="仿宋"/>
          <w:color w:val="auto"/>
          <w:sz w:val="24"/>
        </w:rPr>
        <w:t>表五：一般公共预算财政拨款支出决算表</w:t>
      </w:r>
    </w:p>
    <w:p>
      <w:pPr>
        <w:jc w:val="left"/>
        <w:rPr>
          <w:rFonts w:ascii="仿宋" w:hAnsi="仿宋" w:eastAsia="仿宋" w:cs="仿宋"/>
          <w:color w:val="auto"/>
          <w:sz w:val="24"/>
        </w:rPr>
      </w:pPr>
    </w:p>
    <w:tbl>
      <w:tblPr>
        <w:tblStyle w:val="6"/>
        <w:tblW w:w="13980" w:type="dxa"/>
        <w:tblInd w:w="96" w:type="dxa"/>
        <w:tblLayout w:type="fixed"/>
        <w:tblCellMar>
          <w:top w:w="0" w:type="dxa"/>
          <w:left w:w="108" w:type="dxa"/>
          <w:bottom w:w="0" w:type="dxa"/>
          <w:right w:w="108" w:type="dxa"/>
        </w:tblCellMar>
      </w:tblPr>
      <w:tblGrid>
        <w:gridCol w:w="2011"/>
        <w:gridCol w:w="272"/>
        <w:gridCol w:w="238"/>
        <w:gridCol w:w="238"/>
        <w:gridCol w:w="2052"/>
        <w:gridCol w:w="3173"/>
        <w:gridCol w:w="3107"/>
        <w:gridCol w:w="2889"/>
      </w:tblGrid>
      <w:tr>
        <w:tblPrEx>
          <w:tblCellMar>
            <w:top w:w="0" w:type="dxa"/>
            <w:left w:w="108" w:type="dxa"/>
            <w:bottom w:w="0" w:type="dxa"/>
            <w:right w:w="108" w:type="dxa"/>
          </w:tblCellMar>
        </w:tblPrEx>
        <w:trPr>
          <w:trHeight w:val="693" w:hRule="atLeast"/>
        </w:trPr>
        <w:tc>
          <w:tcPr>
            <w:tcW w:w="13980" w:type="dxa"/>
            <w:gridSpan w:val="8"/>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rPr>
            </w:pPr>
            <w:r>
              <w:rPr>
                <w:rFonts w:hint="eastAsia" w:ascii="宋体" w:hAnsi="宋体" w:eastAsia="宋体" w:cs="宋体"/>
                <w:color w:val="auto"/>
                <w:kern w:val="0"/>
                <w:sz w:val="32"/>
                <w:szCs w:val="32"/>
              </w:rPr>
              <w:t>一般公共预算财政拨款支出决算表</w:t>
            </w:r>
          </w:p>
        </w:tc>
      </w:tr>
      <w:tr>
        <w:tblPrEx>
          <w:tblCellMar>
            <w:top w:w="0" w:type="dxa"/>
            <w:left w:w="108" w:type="dxa"/>
            <w:bottom w:w="0" w:type="dxa"/>
            <w:right w:w="108" w:type="dxa"/>
          </w:tblCellMar>
        </w:tblPrEx>
        <w:trPr>
          <w:trHeight w:val="346" w:hRule="atLeast"/>
        </w:trPr>
        <w:tc>
          <w:tcPr>
            <w:tcW w:w="2283" w:type="dxa"/>
            <w:gridSpan w:val="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38"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38"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052"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317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310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889"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公开05表</w:t>
            </w:r>
          </w:p>
        </w:tc>
      </w:tr>
      <w:tr>
        <w:tblPrEx>
          <w:tblCellMar>
            <w:top w:w="0" w:type="dxa"/>
            <w:left w:w="108" w:type="dxa"/>
            <w:bottom w:w="0" w:type="dxa"/>
            <w:right w:w="108" w:type="dxa"/>
          </w:tblCellMar>
        </w:tblPrEx>
        <w:trPr>
          <w:trHeight w:val="346" w:hRule="atLeast"/>
        </w:trPr>
        <w:tc>
          <w:tcPr>
            <w:tcW w:w="7984" w:type="dxa"/>
            <w:gridSpan w:val="6"/>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r>
              <w:rPr>
                <w:rFonts w:hint="eastAsia" w:ascii="宋体" w:hAnsi="宋体" w:eastAsia="宋体" w:cs="宋体"/>
                <w:color w:val="auto"/>
                <w:kern w:val="0"/>
                <w:sz w:val="20"/>
                <w:szCs w:val="20"/>
              </w:rPr>
              <w:t>部门：</w:t>
            </w:r>
            <w:r>
              <w:rPr>
                <w:rFonts w:hint="default" w:ascii="宋体" w:hAnsi="宋体" w:eastAsia="宋体" w:cs="宋体"/>
                <w:color w:val="auto"/>
                <w:sz w:val="20"/>
              </w:rPr>
              <w:t>河池市农业机械化服务中心</w:t>
            </w:r>
          </w:p>
        </w:tc>
        <w:tc>
          <w:tcPr>
            <w:tcW w:w="3107"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889" w:type="dxa"/>
            <w:tcBorders>
              <w:top w:val="nil"/>
              <w:left w:val="nil"/>
              <w:bottom w:val="single" w:color="auto" w:sz="4" w:space="0"/>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金额单位：万元</w:t>
            </w:r>
          </w:p>
        </w:tc>
      </w:tr>
      <w:tr>
        <w:tblPrEx>
          <w:tblCellMar>
            <w:top w:w="0" w:type="dxa"/>
            <w:left w:w="108" w:type="dxa"/>
            <w:bottom w:w="0" w:type="dxa"/>
            <w:right w:w="108" w:type="dxa"/>
          </w:tblCellMar>
        </w:tblPrEx>
        <w:trPr>
          <w:trHeight w:val="358" w:hRule="atLeast"/>
        </w:trPr>
        <w:tc>
          <w:tcPr>
            <w:tcW w:w="481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w:t>
            </w:r>
          </w:p>
        </w:tc>
        <w:tc>
          <w:tcPr>
            <w:tcW w:w="916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本年支出</w:t>
            </w:r>
          </w:p>
        </w:tc>
      </w:tr>
      <w:tr>
        <w:tblPrEx>
          <w:tblCellMar>
            <w:top w:w="0" w:type="dxa"/>
            <w:left w:w="108" w:type="dxa"/>
            <w:bottom w:w="0" w:type="dxa"/>
            <w:right w:w="108" w:type="dxa"/>
          </w:tblCellMar>
        </w:tblPrEx>
        <w:trPr>
          <w:trHeight w:val="353" w:hRule="atLeast"/>
        </w:trPr>
        <w:tc>
          <w:tcPr>
            <w:tcW w:w="20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功能分类科目编码</w:t>
            </w:r>
          </w:p>
        </w:tc>
        <w:tc>
          <w:tcPr>
            <w:tcW w:w="280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科目名称</w:t>
            </w:r>
          </w:p>
        </w:tc>
        <w:tc>
          <w:tcPr>
            <w:tcW w:w="31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小计</w:t>
            </w:r>
          </w:p>
        </w:tc>
        <w:tc>
          <w:tcPr>
            <w:tcW w:w="31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基本支出</w:t>
            </w:r>
          </w:p>
        </w:tc>
        <w:tc>
          <w:tcPr>
            <w:tcW w:w="28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项目支出</w:t>
            </w:r>
          </w:p>
        </w:tc>
      </w:tr>
      <w:tr>
        <w:tblPrEx>
          <w:tblCellMar>
            <w:top w:w="0" w:type="dxa"/>
            <w:left w:w="108" w:type="dxa"/>
            <w:bottom w:w="0" w:type="dxa"/>
            <w:right w:w="108" w:type="dxa"/>
          </w:tblCellMar>
        </w:tblPrEx>
        <w:trPr>
          <w:trHeight w:val="319" w:hRule="atLeast"/>
        </w:trPr>
        <w:tc>
          <w:tcPr>
            <w:tcW w:w="201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800"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1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8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353" w:hRule="atLeast"/>
        </w:trPr>
        <w:tc>
          <w:tcPr>
            <w:tcW w:w="201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800" w:type="dxa"/>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1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88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358" w:hRule="atLeast"/>
        </w:trPr>
        <w:tc>
          <w:tcPr>
            <w:tcW w:w="481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栏次</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1</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2</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3</w:t>
            </w:r>
          </w:p>
        </w:tc>
      </w:tr>
      <w:tr>
        <w:tblPrEx>
          <w:tblCellMar>
            <w:top w:w="0" w:type="dxa"/>
            <w:left w:w="108" w:type="dxa"/>
            <w:bottom w:w="0" w:type="dxa"/>
            <w:right w:w="108" w:type="dxa"/>
          </w:tblCellMar>
        </w:tblPrEx>
        <w:trPr>
          <w:trHeight w:val="358" w:hRule="atLeast"/>
        </w:trPr>
        <w:tc>
          <w:tcPr>
            <w:tcW w:w="481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合计</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rPr>
            </w:pPr>
            <w:r>
              <w:rPr>
                <w:rFonts w:hint="default" w:ascii="宋体" w:hAnsi="宋体" w:eastAsia="宋体" w:cs="宋体"/>
                <w:b/>
                <w:bCs/>
                <w:color w:val="auto"/>
                <w:sz w:val="22"/>
                <w:szCs w:val="22"/>
              </w:rPr>
              <w:t>532.48</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rPr>
            </w:pPr>
            <w:r>
              <w:rPr>
                <w:rFonts w:hint="eastAsia" w:ascii="宋体" w:hAnsi="宋体" w:eastAsia="宋体" w:cs="宋体"/>
                <w:b/>
                <w:bCs/>
                <w:color w:val="auto"/>
                <w:sz w:val="22"/>
                <w:szCs w:val="22"/>
              </w:rPr>
              <w:t>493.79</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bCs/>
                <w:color w:val="auto"/>
                <w:sz w:val="22"/>
                <w:szCs w:val="22"/>
              </w:rPr>
            </w:pPr>
            <w:r>
              <w:rPr>
                <w:rFonts w:hint="eastAsia" w:ascii="宋体" w:hAnsi="宋体" w:eastAsia="宋体" w:cs="宋体"/>
                <w:b/>
                <w:bCs/>
                <w:color w:val="auto"/>
                <w:sz w:val="22"/>
                <w:szCs w:val="22"/>
              </w:rPr>
              <w:t>38.69</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sz w:val="22"/>
                <w:szCs w:val="22"/>
              </w:rPr>
              <w:t>2050803</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sz w:val="22"/>
                <w:szCs w:val="22"/>
              </w:rPr>
              <w:t>培训支出</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2.50</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2.50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sz w:val="22"/>
                <w:szCs w:val="22"/>
              </w:rPr>
              <w:t>2080505</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sz w:val="22"/>
                <w:szCs w:val="22"/>
              </w:rPr>
              <w:t>机关事业单位基本养老保险缴费支出</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46.55</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46.55</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sz w:val="22"/>
                <w:szCs w:val="22"/>
              </w:rPr>
              <w:t>2080801</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sz w:val="22"/>
                <w:szCs w:val="22"/>
              </w:rPr>
              <w:t>死亡抚恤</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1.37</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1.37</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sz w:val="22"/>
                <w:szCs w:val="22"/>
              </w:rPr>
              <w:t>2101101</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sz w:val="22"/>
                <w:szCs w:val="22"/>
              </w:rPr>
              <w:t>行政单位医疗</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19.94</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19.94</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sz w:val="22"/>
                <w:szCs w:val="22"/>
              </w:rPr>
              <w:t>2101103</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sz w:val="22"/>
                <w:szCs w:val="22"/>
              </w:rPr>
              <w:t>公务员医疗补助</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22.67</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22.67</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sz w:val="22"/>
                <w:szCs w:val="22"/>
              </w:rPr>
              <w:t>2130101</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sz w:val="22"/>
                <w:szCs w:val="22"/>
              </w:rPr>
              <w:t>行政运行</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375.84</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365.84</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10.00</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sz w:val="22"/>
                <w:szCs w:val="22"/>
              </w:rPr>
              <w:t>2130102</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sz w:val="22"/>
                <w:szCs w:val="22"/>
              </w:rPr>
              <w:t>一般行政管理事务</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5.91</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5.91</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sz w:val="22"/>
                <w:szCs w:val="22"/>
              </w:rPr>
              <w:t>2130122</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sz w:val="22"/>
                <w:szCs w:val="22"/>
              </w:rPr>
              <w:t>农业生产发展</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22.79</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22.79</w:t>
            </w:r>
          </w:p>
        </w:tc>
      </w:tr>
      <w:tr>
        <w:tblPrEx>
          <w:tblCellMar>
            <w:top w:w="0" w:type="dxa"/>
            <w:left w:w="108" w:type="dxa"/>
            <w:bottom w:w="0" w:type="dxa"/>
            <w:right w:w="108" w:type="dxa"/>
          </w:tblCellMar>
        </w:tblPrEx>
        <w:trPr>
          <w:trHeight w:val="358" w:hRule="atLeast"/>
        </w:trPr>
        <w:tc>
          <w:tcPr>
            <w:tcW w:w="20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sz w:val="22"/>
                <w:szCs w:val="22"/>
              </w:rPr>
              <w:t>2210201</w:t>
            </w:r>
          </w:p>
        </w:tc>
        <w:tc>
          <w:tcPr>
            <w:tcW w:w="2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sz w:val="22"/>
                <w:szCs w:val="22"/>
              </w:rPr>
              <w:t>住房公积金</w:t>
            </w:r>
          </w:p>
        </w:tc>
        <w:tc>
          <w:tcPr>
            <w:tcW w:w="3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34.91</w:t>
            </w:r>
          </w:p>
        </w:tc>
        <w:tc>
          <w:tcPr>
            <w:tcW w:w="3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34.91</w:t>
            </w:r>
          </w:p>
        </w:tc>
        <w:tc>
          <w:tcPr>
            <w:tcW w:w="28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r>
      <w:tr>
        <w:tblPrEx>
          <w:tblCellMar>
            <w:top w:w="0" w:type="dxa"/>
            <w:left w:w="108" w:type="dxa"/>
            <w:bottom w:w="0" w:type="dxa"/>
            <w:right w:w="108" w:type="dxa"/>
          </w:tblCellMar>
        </w:tblPrEx>
        <w:trPr>
          <w:trHeight w:val="358" w:hRule="atLeast"/>
        </w:trPr>
        <w:tc>
          <w:tcPr>
            <w:tcW w:w="13980" w:type="dxa"/>
            <w:gridSpan w:val="8"/>
            <w:tcBorders>
              <w:top w:val="single" w:color="auto" w:sz="4" w:space="0"/>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注：本表反映部门本年度一般公共预算财政拨款支出情况。</w:t>
            </w:r>
          </w:p>
        </w:tc>
      </w:tr>
    </w:tbl>
    <w:p>
      <w:pPr>
        <w:rPr>
          <w:rFonts w:ascii="仿宋" w:hAnsi="仿宋" w:eastAsia="仿宋" w:cs="仿宋"/>
          <w:color w:val="auto"/>
          <w:sz w:val="24"/>
        </w:rPr>
      </w:pPr>
      <w:r>
        <w:rPr>
          <w:rFonts w:ascii="仿宋" w:hAnsi="仿宋" w:eastAsia="仿宋" w:cs="仿宋"/>
          <w:color w:val="auto"/>
          <w:sz w:val="24"/>
        </w:rPr>
        <w:br w:type="page"/>
      </w:r>
    </w:p>
    <w:p>
      <w:pPr>
        <w:jc w:val="left"/>
        <w:rPr>
          <w:rFonts w:ascii="仿宋" w:hAnsi="仿宋" w:eastAsia="仿宋" w:cs="仿宋"/>
          <w:color w:val="auto"/>
          <w:sz w:val="24"/>
        </w:rPr>
      </w:pPr>
      <w:r>
        <w:rPr>
          <w:rFonts w:hint="eastAsia" w:ascii="仿宋" w:hAnsi="仿宋" w:eastAsia="仿宋" w:cs="仿宋"/>
          <w:color w:val="auto"/>
          <w:sz w:val="24"/>
        </w:rPr>
        <w:t>表六：一般公共预算财政拨款基本支出决算表</w:t>
      </w:r>
    </w:p>
    <w:p>
      <w:pPr>
        <w:jc w:val="left"/>
        <w:rPr>
          <w:rFonts w:ascii="仿宋" w:hAnsi="仿宋" w:eastAsia="仿宋" w:cs="仿宋"/>
          <w:color w:val="auto"/>
          <w:sz w:val="24"/>
        </w:rPr>
      </w:pPr>
    </w:p>
    <w:tbl>
      <w:tblPr>
        <w:tblStyle w:val="6"/>
        <w:tblW w:w="14000" w:type="dxa"/>
        <w:tblInd w:w="96" w:type="dxa"/>
        <w:tblLayout w:type="fixed"/>
        <w:tblCellMar>
          <w:top w:w="0" w:type="dxa"/>
          <w:left w:w="108" w:type="dxa"/>
          <w:bottom w:w="0" w:type="dxa"/>
          <w:right w:w="108" w:type="dxa"/>
        </w:tblCellMar>
      </w:tblPr>
      <w:tblGrid>
        <w:gridCol w:w="1107"/>
        <w:gridCol w:w="2371"/>
        <w:gridCol w:w="1106"/>
        <w:gridCol w:w="1280"/>
        <w:gridCol w:w="2347"/>
        <w:gridCol w:w="1160"/>
        <w:gridCol w:w="1173"/>
        <w:gridCol w:w="2147"/>
        <w:gridCol w:w="1309"/>
      </w:tblGrid>
      <w:tr>
        <w:tblPrEx>
          <w:tblCellMar>
            <w:top w:w="0" w:type="dxa"/>
            <w:left w:w="108" w:type="dxa"/>
            <w:bottom w:w="0" w:type="dxa"/>
            <w:right w:w="108" w:type="dxa"/>
          </w:tblCellMar>
        </w:tblPrEx>
        <w:trPr>
          <w:trHeight w:val="614" w:hRule="atLeast"/>
        </w:trPr>
        <w:tc>
          <w:tcPr>
            <w:tcW w:w="14000" w:type="dxa"/>
            <w:gridSpan w:val="9"/>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rPr>
            </w:pPr>
            <w:r>
              <w:rPr>
                <w:rFonts w:hint="eastAsia" w:ascii="宋体" w:hAnsi="宋体" w:eastAsia="宋体" w:cs="宋体"/>
                <w:color w:val="auto"/>
                <w:kern w:val="0"/>
                <w:sz w:val="32"/>
                <w:szCs w:val="32"/>
              </w:rPr>
              <w:t>一般公共预算财政拨款基本支出决算明细表</w:t>
            </w:r>
          </w:p>
        </w:tc>
      </w:tr>
      <w:tr>
        <w:tblPrEx>
          <w:tblCellMar>
            <w:top w:w="0" w:type="dxa"/>
            <w:left w:w="108" w:type="dxa"/>
            <w:bottom w:w="0" w:type="dxa"/>
            <w:right w:w="108" w:type="dxa"/>
          </w:tblCellMar>
        </w:tblPrEx>
        <w:trPr>
          <w:trHeight w:val="307" w:hRule="atLeast"/>
        </w:trPr>
        <w:tc>
          <w:tcPr>
            <w:tcW w:w="110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371"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10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28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34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16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17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14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309"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公开06表</w:t>
            </w:r>
          </w:p>
        </w:tc>
      </w:tr>
      <w:tr>
        <w:tblPrEx>
          <w:tblCellMar>
            <w:top w:w="0" w:type="dxa"/>
            <w:left w:w="108" w:type="dxa"/>
            <w:bottom w:w="0" w:type="dxa"/>
            <w:right w:w="108" w:type="dxa"/>
          </w:tblCellMar>
        </w:tblPrEx>
        <w:trPr>
          <w:trHeight w:val="569" w:hRule="atLeast"/>
        </w:trPr>
        <w:tc>
          <w:tcPr>
            <w:tcW w:w="8211" w:type="dxa"/>
            <w:gridSpan w:val="5"/>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r>
              <w:rPr>
                <w:rFonts w:hint="eastAsia" w:ascii="宋体" w:hAnsi="宋体" w:eastAsia="宋体" w:cs="宋体"/>
                <w:color w:val="auto"/>
                <w:kern w:val="0"/>
                <w:sz w:val="20"/>
                <w:szCs w:val="20"/>
              </w:rPr>
              <w:t>部门：</w:t>
            </w:r>
            <w:r>
              <w:rPr>
                <w:rFonts w:hint="default" w:ascii="宋体" w:hAnsi="宋体" w:eastAsia="宋体" w:cs="宋体"/>
                <w:color w:val="auto"/>
                <w:sz w:val="20"/>
              </w:rPr>
              <w:t>河池市农业机械化服务中心</w:t>
            </w:r>
          </w:p>
        </w:tc>
        <w:tc>
          <w:tcPr>
            <w:tcW w:w="1160"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173"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3456" w:type="dxa"/>
            <w:gridSpan w:val="2"/>
            <w:tcBorders>
              <w:top w:val="nil"/>
              <w:left w:val="nil"/>
              <w:bottom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金额单位：万元</w:t>
            </w:r>
          </w:p>
        </w:tc>
      </w:tr>
      <w:tr>
        <w:tblPrEx>
          <w:tblCellMar>
            <w:top w:w="0" w:type="dxa"/>
            <w:left w:w="108" w:type="dxa"/>
            <w:bottom w:w="0" w:type="dxa"/>
            <w:right w:w="108" w:type="dxa"/>
          </w:tblCellMar>
        </w:tblPrEx>
        <w:trPr>
          <w:trHeight w:val="319" w:hRule="atLeast"/>
        </w:trPr>
        <w:tc>
          <w:tcPr>
            <w:tcW w:w="458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人员经费</w:t>
            </w:r>
          </w:p>
        </w:tc>
        <w:tc>
          <w:tcPr>
            <w:tcW w:w="9416"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公用经费</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科目编码</w:t>
            </w: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p>
        </w:tc>
        <w:tc>
          <w:tcPr>
            <w:tcW w:w="23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科目名称</w:t>
            </w:r>
          </w:p>
        </w:tc>
        <w:tc>
          <w:tcPr>
            <w:tcW w:w="11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决算数</w:t>
            </w:r>
          </w:p>
        </w:tc>
        <w:tc>
          <w:tcPr>
            <w:tcW w:w="12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科目编码</w:t>
            </w:r>
          </w:p>
        </w:tc>
        <w:tc>
          <w:tcPr>
            <w:tcW w:w="23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科目名称</w:t>
            </w:r>
          </w:p>
        </w:tc>
        <w:tc>
          <w:tcPr>
            <w:tcW w:w="11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决算数</w:t>
            </w:r>
          </w:p>
        </w:tc>
        <w:tc>
          <w:tcPr>
            <w:tcW w:w="11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科目编码</w:t>
            </w:r>
          </w:p>
        </w:tc>
        <w:tc>
          <w:tcPr>
            <w:tcW w:w="21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科目名称</w:t>
            </w:r>
          </w:p>
        </w:tc>
        <w:tc>
          <w:tcPr>
            <w:tcW w:w="13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决算数</w:t>
            </w:r>
          </w:p>
        </w:tc>
      </w:tr>
      <w:tr>
        <w:tblPrEx>
          <w:tblCellMar>
            <w:top w:w="0" w:type="dxa"/>
            <w:left w:w="108" w:type="dxa"/>
            <w:bottom w:w="0" w:type="dxa"/>
            <w:right w:w="108" w:type="dxa"/>
          </w:tblCellMar>
        </w:tblPrEx>
        <w:trPr>
          <w:trHeight w:val="1237" w:hRule="atLeast"/>
        </w:trPr>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3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1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2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3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1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3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工资福利支出</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398.84</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商品和服务支出</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63.59</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307</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债务利息及费用支出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30101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基本工资</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90.79</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30201</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办公费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0.28</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30701</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国内债务付息</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30102</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津贴补贴</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82.35</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30202</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印刷费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0.05</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30702</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国外债务付息</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30103</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奖金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112.87</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30203</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咨询费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资本性支出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30106</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伙食补助费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30204</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手续费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31001</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房屋建筑物购建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30107</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绩效工资</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30205</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水费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31002</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办公设备购置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30108</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机关事业单位基本养老保险缴费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46.55</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30206</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电费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31003</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专用设备购置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30109</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职业年金缴费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30207</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邮电费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3.72</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31005</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基础设施建设</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30110</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职工基本医疗保险缴费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18.47</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30208</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取暖费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31006</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大型修缮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30111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公务员医疗补助缴费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11.43</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30209</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物业管理费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31007</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信息网络及软件购置更新</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30112</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其他社会保障缴费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1.46</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30211</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差旅费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5.14</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31008</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物资储备</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30113</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住房公积金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34.91</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30212</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因公出国（境）费用</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31009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土地补偿</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30114</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医疗费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30213</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维修（护）费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0.73</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31010</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安置补助</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30199</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其他工资福利支出</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30214</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租赁费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31011</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地上附着物和青苗补偿</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对个人和家庭的补助</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31.36</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30215</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会议费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31012</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拆迁补偿</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30301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离休费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14.72</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30216</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培训费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3.30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31013</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公务用车购置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30302</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退休费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30217</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公务接待费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31019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其他交通工具购置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30303</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退职（役）费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30218</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专用材料费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31021</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文物和陈列品购置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30304</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抚恤金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30224</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被装购置费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31022</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无形资产购置</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30305</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生活补助</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1.37</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30225</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专用燃料费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31099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其他资本性支出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30306</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救济费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30226</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劳务费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399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其他支出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30307</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医疗费补助</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11.24</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30227</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委托业务费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39907</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国家赔偿费用支出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30308</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助学金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30228</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工会经费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6.80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39908</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对民间非营利组织和群众性自治组织补贴</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30309</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奖励金</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30229</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福利费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0.15</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39909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经常性赠与</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30310</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个人农业生产补贴</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30231</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公务用车运行维护费</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39910</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资本性赠与</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30311</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代缴社会保险费</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30239</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其他交通费用</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25.48</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39999</w:t>
            </w: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其他支出</w:t>
            </w: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30399</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其他对个人和家庭的补助</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4.03</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30240</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税金及附加费用</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30299</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 xml:space="preserve">  其他商品和服务支出</w:t>
            </w: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17.93</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r>
      <w:tr>
        <w:tblPrEx>
          <w:tblCellMar>
            <w:top w:w="0" w:type="dxa"/>
            <w:left w:w="108" w:type="dxa"/>
            <w:bottom w:w="0" w:type="dxa"/>
            <w:right w:w="108" w:type="dxa"/>
          </w:tblCellMar>
        </w:tblPrEx>
        <w:trPr>
          <w:trHeight w:val="624" w:hRule="atLeast"/>
        </w:trPr>
        <w:tc>
          <w:tcPr>
            <w:tcW w:w="110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人员经费合计</w:t>
            </w:r>
          </w:p>
        </w:tc>
        <w:tc>
          <w:tcPr>
            <w:tcW w:w="23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color w:val="auto"/>
                <w:sz w:val="22"/>
                <w:szCs w:val="22"/>
              </w:rPr>
            </w:pPr>
            <w:bookmarkStart w:id="0" w:name="OLE_LINK4"/>
            <w:bookmarkEnd w:id="0"/>
            <w:bookmarkStart w:id="1" w:name="OLE_LINK3"/>
            <w:bookmarkEnd w:id="1"/>
          </w:p>
        </w:tc>
        <w:tc>
          <w:tcPr>
            <w:tcW w:w="11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430.20</w:t>
            </w:r>
          </w:p>
        </w:tc>
        <w:tc>
          <w:tcPr>
            <w:tcW w:w="12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公用经费合计</w:t>
            </w:r>
          </w:p>
        </w:tc>
        <w:tc>
          <w:tcPr>
            <w:tcW w:w="23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p>
        </w:tc>
        <w:tc>
          <w:tcPr>
            <w:tcW w:w="11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sz w:val="22"/>
                <w:szCs w:val="22"/>
              </w:rPr>
            </w:pPr>
            <w:r>
              <w:rPr>
                <w:rFonts w:hint="default" w:ascii="宋体" w:hAnsi="宋体" w:eastAsia="宋体" w:cs="宋体"/>
                <w:color w:val="auto"/>
                <w:kern w:val="0"/>
                <w:sz w:val="22"/>
                <w:szCs w:val="22"/>
              </w:rPr>
              <w:t>0.00</w:t>
            </w:r>
          </w:p>
        </w:tc>
        <w:tc>
          <w:tcPr>
            <w:tcW w:w="11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p>
        </w:tc>
        <w:tc>
          <w:tcPr>
            <w:tcW w:w="214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63.59</w:t>
            </w:r>
          </w:p>
        </w:tc>
      </w:tr>
      <w:tr>
        <w:tblPrEx>
          <w:tblCellMar>
            <w:top w:w="0" w:type="dxa"/>
            <w:left w:w="108" w:type="dxa"/>
            <w:bottom w:w="0" w:type="dxa"/>
            <w:right w:w="108" w:type="dxa"/>
          </w:tblCellMar>
        </w:tblPrEx>
        <w:trPr>
          <w:trHeight w:val="319" w:hRule="atLeast"/>
        </w:trPr>
        <w:tc>
          <w:tcPr>
            <w:tcW w:w="14000" w:type="dxa"/>
            <w:gridSpan w:val="9"/>
            <w:tcBorders>
              <w:top w:val="single" w:color="auto" w:sz="4" w:space="0"/>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注：本表反映部门本年度一般公共预算财政拨款基本支出明细情况。</w:t>
            </w:r>
          </w:p>
        </w:tc>
      </w:tr>
    </w:tbl>
    <w:p>
      <w:pPr>
        <w:jc w:val="left"/>
        <w:rPr>
          <w:rFonts w:ascii="仿宋" w:hAnsi="仿宋" w:eastAsia="仿宋" w:cs="仿宋"/>
          <w:color w:val="auto"/>
          <w:sz w:val="24"/>
        </w:rPr>
      </w:pPr>
    </w:p>
    <w:p>
      <w:pPr>
        <w:rPr>
          <w:rFonts w:ascii="仿宋" w:hAnsi="仿宋" w:eastAsia="仿宋" w:cs="仿宋"/>
          <w:color w:val="auto"/>
          <w:sz w:val="24"/>
        </w:rPr>
      </w:pPr>
      <w:r>
        <w:rPr>
          <w:rFonts w:ascii="仿宋" w:hAnsi="仿宋" w:eastAsia="仿宋" w:cs="仿宋"/>
          <w:color w:val="auto"/>
          <w:sz w:val="24"/>
        </w:rPr>
        <w:br w:type="page"/>
      </w:r>
    </w:p>
    <w:p>
      <w:pPr>
        <w:jc w:val="left"/>
        <w:rPr>
          <w:rFonts w:ascii="仿宋" w:hAnsi="仿宋" w:eastAsia="仿宋" w:cs="仿宋"/>
          <w:color w:val="auto"/>
          <w:sz w:val="24"/>
        </w:rPr>
      </w:pPr>
      <w:r>
        <w:rPr>
          <w:rFonts w:hint="eastAsia" w:ascii="仿宋" w:hAnsi="仿宋" w:eastAsia="仿宋" w:cs="仿宋"/>
          <w:color w:val="auto"/>
          <w:sz w:val="24"/>
        </w:rPr>
        <w:t>表七：政府性基金预算财政拨款收入支出决算表</w:t>
      </w:r>
    </w:p>
    <w:p>
      <w:pPr>
        <w:jc w:val="left"/>
        <w:rPr>
          <w:rFonts w:ascii="仿宋" w:hAnsi="仿宋" w:eastAsia="仿宋" w:cs="仿宋"/>
          <w:color w:val="auto"/>
          <w:sz w:val="24"/>
        </w:rPr>
      </w:pPr>
    </w:p>
    <w:tbl>
      <w:tblPr>
        <w:tblStyle w:val="6"/>
        <w:tblW w:w="13982" w:type="dxa"/>
        <w:tblInd w:w="96" w:type="dxa"/>
        <w:tblLayout w:type="fixed"/>
        <w:tblCellMar>
          <w:top w:w="0" w:type="dxa"/>
          <w:left w:w="108" w:type="dxa"/>
          <w:bottom w:w="0" w:type="dxa"/>
          <w:right w:w="108" w:type="dxa"/>
        </w:tblCellMar>
      </w:tblPr>
      <w:tblGrid>
        <w:gridCol w:w="1297"/>
        <w:gridCol w:w="240"/>
        <w:gridCol w:w="236"/>
        <w:gridCol w:w="1625"/>
        <w:gridCol w:w="1973"/>
        <w:gridCol w:w="1653"/>
        <w:gridCol w:w="1600"/>
        <w:gridCol w:w="1680"/>
        <w:gridCol w:w="1730"/>
        <w:gridCol w:w="1948"/>
      </w:tblGrid>
      <w:tr>
        <w:tblPrEx>
          <w:tblCellMar>
            <w:top w:w="0" w:type="dxa"/>
            <w:left w:w="108" w:type="dxa"/>
            <w:bottom w:w="0" w:type="dxa"/>
            <w:right w:w="108" w:type="dxa"/>
          </w:tblCellMar>
        </w:tblPrEx>
        <w:trPr>
          <w:trHeight w:val="536" w:hRule="atLeast"/>
        </w:trPr>
        <w:tc>
          <w:tcPr>
            <w:tcW w:w="13980" w:type="dxa"/>
            <w:gridSpan w:val="10"/>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rPr>
            </w:pPr>
            <w:r>
              <w:rPr>
                <w:rFonts w:hint="eastAsia" w:ascii="宋体" w:hAnsi="宋体" w:eastAsia="宋体" w:cs="宋体"/>
                <w:color w:val="auto"/>
                <w:kern w:val="0"/>
                <w:sz w:val="32"/>
                <w:szCs w:val="32"/>
              </w:rPr>
              <w:t>政府性基金预算财政拨款收入支出决算表</w:t>
            </w:r>
          </w:p>
        </w:tc>
      </w:tr>
      <w:tr>
        <w:tblPrEx>
          <w:tblCellMar>
            <w:top w:w="0" w:type="dxa"/>
            <w:left w:w="108" w:type="dxa"/>
            <w:bottom w:w="0" w:type="dxa"/>
            <w:right w:w="108" w:type="dxa"/>
          </w:tblCellMar>
        </w:tblPrEx>
        <w:trPr>
          <w:trHeight w:val="268" w:hRule="atLeast"/>
        </w:trPr>
        <w:tc>
          <w:tcPr>
            <w:tcW w:w="1297"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4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3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62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97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65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60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68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73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948"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公开08表</w:t>
            </w:r>
          </w:p>
        </w:tc>
      </w:tr>
      <w:tr>
        <w:tblPrEx>
          <w:tblCellMar>
            <w:top w:w="0" w:type="dxa"/>
            <w:left w:w="108" w:type="dxa"/>
            <w:bottom w:w="0" w:type="dxa"/>
            <w:right w:w="108" w:type="dxa"/>
          </w:tblCellMar>
        </w:tblPrEx>
        <w:trPr>
          <w:trHeight w:val="268" w:hRule="atLeast"/>
        </w:trPr>
        <w:tc>
          <w:tcPr>
            <w:tcW w:w="8624" w:type="dxa"/>
            <w:gridSpan w:val="7"/>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r>
              <w:rPr>
                <w:rFonts w:hint="eastAsia" w:ascii="宋体" w:hAnsi="宋体" w:eastAsia="宋体" w:cs="宋体"/>
                <w:color w:val="auto"/>
                <w:kern w:val="0"/>
                <w:sz w:val="20"/>
                <w:szCs w:val="20"/>
              </w:rPr>
              <w:t>部门：</w:t>
            </w:r>
            <w:r>
              <w:rPr>
                <w:rFonts w:hint="default" w:ascii="宋体" w:hAnsi="宋体" w:eastAsia="宋体" w:cs="宋体"/>
                <w:color w:val="auto"/>
                <w:sz w:val="20"/>
              </w:rPr>
              <w:t>河池市农业机械化服务中心</w:t>
            </w:r>
          </w:p>
        </w:tc>
        <w:tc>
          <w:tcPr>
            <w:tcW w:w="1680"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728" w:type="dxa"/>
            <w:tcBorders>
              <w:top w:val="nil"/>
              <w:left w:val="nil"/>
              <w:bottom w:val="single" w:color="auto" w:sz="4" w:space="0"/>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948" w:type="dxa"/>
            <w:tcBorders>
              <w:top w:val="nil"/>
              <w:left w:val="nil"/>
              <w:bottom w:val="single" w:color="auto" w:sz="4" w:space="0"/>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金额单位：万元</w:t>
            </w:r>
          </w:p>
        </w:tc>
      </w:tr>
      <w:tr>
        <w:tblPrEx>
          <w:tblCellMar>
            <w:top w:w="0" w:type="dxa"/>
            <w:left w:w="108" w:type="dxa"/>
            <w:bottom w:w="0" w:type="dxa"/>
            <w:right w:w="108" w:type="dxa"/>
          </w:tblCellMar>
        </w:tblPrEx>
        <w:trPr>
          <w:trHeight w:val="277" w:hRule="atLeast"/>
        </w:trPr>
        <w:tc>
          <w:tcPr>
            <w:tcW w:w="339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w:t>
            </w:r>
          </w:p>
        </w:tc>
        <w:tc>
          <w:tcPr>
            <w:tcW w:w="19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年初结转和结余</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本年收入</w:t>
            </w:r>
          </w:p>
        </w:tc>
        <w:tc>
          <w:tcPr>
            <w:tcW w:w="50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本年支出</w:t>
            </w:r>
          </w:p>
        </w:tc>
        <w:tc>
          <w:tcPr>
            <w:tcW w:w="19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年末结转和结余</w:t>
            </w:r>
          </w:p>
        </w:tc>
      </w:tr>
      <w:tr>
        <w:tblPrEx>
          <w:tblCellMar>
            <w:top w:w="0" w:type="dxa"/>
            <w:left w:w="108" w:type="dxa"/>
            <w:bottom w:w="0" w:type="dxa"/>
            <w:right w:w="108" w:type="dxa"/>
          </w:tblCellMar>
        </w:tblPrEx>
        <w:trPr>
          <w:trHeight w:val="312" w:hRule="atLeast"/>
        </w:trPr>
        <w:tc>
          <w:tcPr>
            <w:tcW w:w="15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功能分类科目编码</w:t>
            </w:r>
          </w:p>
        </w:tc>
        <w:tc>
          <w:tcPr>
            <w:tcW w:w="1861"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科目名称</w:t>
            </w:r>
          </w:p>
        </w:tc>
        <w:tc>
          <w:tcPr>
            <w:tcW w:w="19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小计</w:t>
            </w:r>
          </w:p>
        </w:tc>
        <w:tc>
          <w:tcPr>
            <w:tcW w:w="1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基本支出</w:t>
            </w:r>
          </w:p>
        </w:tc>
        <w:tc>
          <w:tcPr>
            <w:tcW w:w="17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项目支出</w:t>
            </w:r>
          </w:p>
        </w:tc>
        <w:tc>
          <w:tcPr>
            <w:tcW w:w="19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312" w:hRule="atLeast"/>
        </w:trPr>
        <w:tc>
          <w:tcPr>
            <w:tcW w:w="1537"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86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9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9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312" w:hRule="atLeast"/>
        </w:trPr>
        <w:tc>
          <w:tcPr>
            <w:tcW w:w="1537"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86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9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6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7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9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277" w:hRule="atLeast"/>
        </w:trPr>
        <w:tc>
          <w:tcPr>
            <w:tcW w:w="339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栏次</w:t>
            </w: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1</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2</w:t>
            </w: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3</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4</w:t>
            </w: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5</w:t>
            </w:r>
          </w:p>
        </w:tc>
        <w:tc>
          <w:tcPr>
            <w:tcW w:w="194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6</w:t>
            </w:r>
          </w:p>
        </w:tc>
      </w:tr>
      <w:tr>
        <w:tblPrEx>
          <w:tblCellMar>
            <w:top w:w="0" w:type="dxa"/>
            <w:left w:w="108" w:type="dxa"/>
            <w:bottom w:w="0" w:type="dxa"/>
            <w:right w:w="108" w:type="dxa"/>
          </w:tblCellMar>
        </w:tblPrEx>
        <w:trPr>
          <w:trHeight w:val="277" w:hRule="atLeast"/>
        </w:trPr>
        <w:tc>
          <w:tcPr>
            <w:tcW w:w="339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合计</w:t>
            </w: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194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r>
      <w:tr>
        <w:tblPrEx>
          <w:tblCellMar>
            <w:top w:w="0" w:type="dxa"/>
            <w:left w:w="108" w:type="dxa"/>
            <w:bottom w:w="0" w:type="dxa"/>
            <w:right w:w="108" w:type="dxa"/>
          </w:tblCellMar>
        </w:tblPrEx>
        <w:trPr>
          <w:trHeight w:val="277" w:hRule="atLeast"/>
        </w:trPr>
        <w:tc>
          <w:tcPr>
            <w:tcW w:w="153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18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94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277" w:hRule="atLeast"/>
        </w:trPr>
        <w:tc>
          <w:tcPr>
            <w:tcW w:w="153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18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94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277" w:hRule="atLeast"/>
        </w:trPr>
        <w:tc>
          <w:tcPr>
            <w:tcW w:w="153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18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19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72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94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277" w:hRule="atLeast"/>
        </w:trPr>
        <w:tc>
          <w:tcPr>
            <w:tcW w:w="1537"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1861" w:type="dxa"/>
            <w:gridSpan w:val="2"/>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1973"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53"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00"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80"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728"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948"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277" w:hRule="atLeast"/>
        </w:trPr>
        <w:tc>
          <w:tcPr>
            <w:tcW w:w="153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1861" w:type="dxa"/>
            <w:gridSpan w:val="2"/>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5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00"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680"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728"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1948"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277" w:hRule="atLeast"/>
        </w:trPr>
        <w:tc>
          <w:tcPr>
            <w:tcW w:w="13980" w:type="dxa"/>
            <w:gridSpan w:val="10"/>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注：本表反映部门本年度政府性基金预算财政拨款收入、支出及结转和结余情况。</w:t>
            </w:r>
          </w:p>
          <w:p>
            <w:pPr>
              <w:keepNext w:val="0"/>
              <w:keepLines w:val="0"/>
              <w:suppressLineNumbers w:val="0"/>
              <w:spacing w:before="0" w:beforeAutospacing="0" w:after="0" w:afterAutospacing="0"/>
              <w:ind w:left="0" w:right="0"/>
              <w:rPr>
                <w:rFonts w:hint="default"/>
                <w:color w:val="auto"/>
              </w:rPr>
            </w:pPr>
            <w:r>
              <w:rPr>
                <w:rFonts w:hint="eastAsia" w:ascii="宋体" w:hAnsi="宋体" w:eastAsia="宋体" w:cs="宋体"/>
                <w:color w:val="auto"/>
                <w:szCs w:val="21"/>
              </w:rPr>
              <w:t>“本部门</w:t>
            </w:r>
            <w:r>
              <w:rPr>
                <w:rFonts w:hint="default" w:ascii="Times New Roman" w:hAnsi="Times New Roman" w:eastAsia="宋体" w:cs="Times New Roman"/>
                <w:color w:val="auto"/>
                <w:szCs w:val="21"/>
              </w:rPr>
              <w:t>2022</w:t>
            </w:r>
            <w:r>
              <w:rPr>
                <w:rFonts w:hint="eastAsia" w:ascii="宋体" w:hAnsi="宋体" w:eastAsia="宋体" w:cs="宋体"/>
                <w:color w:val="auto"/>
                <w:szCs w:val="21"/>
              </w:rPr>
              <w:t>年度没有政府性基金预算财政拨款收入，也没有政府性基金预算财政拨款安排的支出，故本表无数据”。</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r>
    </w:tbl>
    <w:p>
      <w:pPr>
        <w:rPr>
          <w:rFonts w:hint="eastAsia" w:ascii="仿宋" w:hAnsi="仿宋" w:eastAsia="仿宋" w:cs="仿宋"/>
          <w:color w:val="auto"/>
          <w:sz w:val="24"/>
          <w:lang w:eastAsia="zh-CN"/>
        </w:rPr>
      </w:pPr>
      <w:r>
        <w:rPr>
          <w:rFonts w:ascii="仿宋" w:hAnsi="仿宋" w:eastAsia="仿宋" w:cs="仿宋"/>
          <w:color w:val="auto"/>
          <w:sz w:val="24"/>
        </w:rPr>
        <w:br w:type="page"/>
      </w:r>
    </w:p>
    <w:p>
      <w:pPr>
        <w:rPr>
          <w:rFonts w:ascii="仿宋" w:hAnsi="仿宋" w:eastAsia="仿宋" w:cs="仿宋"/>
          <w:color w:val="auto"/>
          <w:sz w:val="24"/>
        </w:rPr>
      </w:pPr>
    </w:p>
    <w:p>
      <w:pPr>
        <w:jc w:val="left"/>
        <w:rPr>
          <w:rFonts w:ascii="仿宋" w:hAnsi="仿宋" w:eastAsia="仿宋" w:cs="仿宋"/>
          <w:color w:val="auto"/>
          <w:sz w:val="24"/>
        </w:rPr>
      </w:pPr>
    </w:p>
    <w:p>
      <w:pPr>
        <w:jc w:val="left"/>
        <w:rPr>
          <w:rFonts w:ascii="仿宋" w:hAnsi="仿宋" w:eastAsia="仿宋" w:cs="仿宋"/>
          <w:color w:val="auto"/>
          <w:sz w:val="24"/>
        </w:rPr>
      </w:pPr>
      <w:r>
        <w:rPr>
          <w:rFonts w:hint="eastAsia" w:ascii="仿宋" w:hAnsi="仿宋" w:eastAsia="仿宋" w:cs="仿宋"/>
          <w:color w:val="auto"/>
          <w:sz w:val="24"/>
        </w:rPr>
        <w:t>表八：国有资本经营预算财政拨款支出决算表</w:t>
      </w:r>
    </w:p>
    <w:p>
      <w:pPr>
        <w:jc w:val="left"/>
        <w:rPr>
          <w:rFonts w:ascii="仿宋" w:hAnsi="仿宋" w:eastAsia="仿宋" w:cs="仿宋"/>
          <w:color w:val="auto"/>
          <w:sz w:val="24"/>
        </w:rPr>
      </w:pPr>
    </w:p>
    <w:tbl>
      <w:tblPr>
        <w:tblStyle w:val="6"/>
        <w:tblW w:w="13940" w:type="dxa"/>
        <w:tblInd w:w="96" w:type="dxa"/>
        <w:tblLayout w:type="fixed"/>
        <w:tblCellMar>
          <w:top w:w="0" w:type="dxa"/>
          <w:left w:w="108" w:type="dxa"/>
          <w:bottom w:w="0" w:type="dxa"/>
          <w:right w:w="108" w:type="dxa"/>
        </w:tblCellMar>
      </w:tblPr>
      <w:tblGrid>
        <w:gridCol w:w="1638"/>
        <w:gridCol w:w="501"/>
        <w:gridCol w:w="285"/>
        <w:gridCol w:w="363"/>
        <w:gridCol w:w="1960"/>
        <w:gridCol w:w="2993"/>
        <w:gridCol w:w="3135"/>
        <w:gridCol w:w="3065"/>
      </w:tblGrid>
      <w:tr>
        <w:tblPrEx>
          <w:tblCellMar>
            <w:top w:w="0" w:type="dxa"/>
            <w:left w:w="108" w:type="dxa"/>
            <w:bottom w:w="0" w:type="dxa"/>
            <w:right w:w="108" w:type="dxa"/>
          </w:tblCellMar>
        </w:tblPrEx>
        <w:trPr>
          <w:trHeight w:val="384" w:hRule="atLeast"/>
        </w:trPr>
        <w:tc>
          <w:tcPr>
            <w:tcW w:w="13940" w:type="dxa"/>
            <w:gridSpan w:val="8"/>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rPr>
            </w:pPr>
            <w:r>
              <w:rPr>
                <w:rFonts w:hint="eastAsia" w:ascii="宋体" w:hAnsi="宋体" w:eastAsia="宋体" w:cs="宋体"/>
                <w:color w:val="auto"/>
                <w:kern w:val="0"/>
                <w:sz w:val="32"/>
                <w:szCs w:val="32"/>
              </w:rPr>
              <w:t>国有资本经营预算财政拨款支出决算表</w:t>
            </w:r>
          </w:p>
        </w:tc>
      </w:tr>
      <w:tr>
        <w:tblPrEx>
          <w:tblCellMar>
            <w:top w:w="0" w:type="dxa"/>
            <w:left w:w="108" w:type="dxa"/>
            <w:bottom w:w="0" w:type="dxa"/>
            <w:right w:w="108" w:type="dxa"/>
          </w:tblCellMar>
        </w:tblPrEx>
        <w:trPr>
          <w:trHeight w:val="264" w:hRule="atLeast"/>
        </w:trPr>
        <w:tc>
          <w:tcPr>
            <w:tcW w:w="2139" w:type="dxa"/>
            <w:gridSpan w:val="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8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36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96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99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313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3065"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公开09表</w:t>
            </w:r>
          </w:p>
        </w:tc>
      </w:tr>
      <w:tr>
        <w:tblPrEx>
          <w:tblCellMar>
            <w:top w:w="0" w:type="dxa"/>
            <w:left w:w="108" w:type="dxa"/>
            <w:bottom w:w="0" w:type="dxa"/>
            <w:right w:w="108" w:type="dxa"/>
          </w:tblCellMar>
        </w:tblPrEx>
        <w:trPr>
          <w:trHeight w:val="264" w:hRule="atLeast"/>
        </w:trPr>
        <w:tc>
          <w:tcPr>
            <w:tcW w:w="7740" w:type="dxa"/>
            <w:gridSpan w:val="6"/>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r>
              <w:rPr>
                <w:rFonts w:hint="eastAsia" w:ascii="宋体" w:hAnsi="宋体" w:eastAsia="宋体" w:cs="宋体"/>
                <w:color w:val="auto"/>
                <w:kern w:val="0"/>
                <w:sz w:val="20"/>
                <w:szCs w:val="20"/>
              </w:rPr>
              <w:t>部门：</w:t>
            </w:r>
            <w:r>
              <w:rPr>
                <w:rFonts w:hint="default" w:ascii="宋体" w:hAnsi="宋体" w:eastAsia="宋体" w:cs="宋体"/>
                <w:color w:val="auto"/>
                <w:sz w:val="20"/>
              </w:rPr>
              <w:t>河池市农业机械化服务中心</w:t>
            </w:r>
          </w:p>
        </w:tc>
        <w:tc>
          <w:tcPr>
            <w:tcW w:w="313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3065"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金额单位：万元</w:t>
            </w:r>
          </w:p>
        </w:tc>
      </w:tr>
      <w:tr>
        <w:tblPrEx>
          <w:tblCellMar>
            <w:top w:w="0" w:type="dxa"/>
            <w:left w:w="108" w:type="dxa"/>
            <w:bottom w:w="0" w:type="dxa"/>
            <w:right w:w="108" w:type="dxa"/>
          </w:tblCellMar>
        </w:tblPrEx>
        <w:trPr>
          <w:trHeight w:val="308" w:hRule="atLeast"/>
        </w:trPr>
        <w:tc>
          <w:tcPr>
            <w:tcW w:w="474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w:t>
            </w:r>
          </w:p>
        </w:tc>
        <w:tc>
          <w:tcPr>
            <w:tcW w:w="9193"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本年支出</w:t>
            </w:r>
          </w:p>
        </w:tc>
      </w:tr>
      <w:tr>
        <w:tblPrEx>
          <w:tblCellMar>
            <w:top w:w="0" w:type="dxa"/>
            <w:left w:w="108" w:type="dxa"/>
            <w:bottom w:w="0" w:type="dxa"/>
            <w:right w:w="108" w:type="dxa"/>
          </w:tblCellMar>
        </w:tblPrEx>
        <w:trPr>
          <w:trHeight w:val="312" w:hRule="atLeast"/>
        </w:trPr>
        <w:tc>
          <w:tcPr>
            <w:tcW w:w="1638"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功能分类科目编码</w:t>
            </w:r>
          </w:p>
        </w:tc>
        <w:tc>
          <w:tcPr>
            <w:tcW w:w="3109" w:type="dxa"/>
            <w:gridSpan w:val="4"/>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科目名称</w:t>
            </w:r>
          </w:p>
        </w:tc>
        <w:tc>
          <w:tcPr>
            <w:tcW w:w="299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合计</w:t>
            </w:r>
          </w:p>
        </w:tc>
        <w:tc>
          <w:tcPr>
            <w:tcW w:w="313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基本支出</w:t>
            </w:r>
          </w:p>
        </w:tc>
        <w:tc>
          <w:tcPr>
            <w:tcW w:w="306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项目支出</w:t>
            </w:r>
          </w:p>
        </w:tc>
      </w:tr>
      <w:tr>
        <w:tblPrEx>
          <w:tblCellMar>
            <w:top w:w="0" w:type="dxa"/>
            <w:left w:w="108" w:type="dxa"/>
            <w:bottom w:w="0" w:type="dxa"/>
            <w:right w:w="108" w:type="dxa"/>
          </w:tblCellMar>
        </w:tblPrEx>
        <w:trPr>
          <w:trHeight w:val="312" w:hRule="atLeast"/>
        </w:trPr>
        <w:tc>
          <w:tcPr>
            <w:tcW w:w="163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109" w:type="dxa"/>
            <w:gridSpan w:val="4"/>
            <w:vMerge w:val="continue"/>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993"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13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06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312" w:hRule="atLeast"/>
        </w:trPr>
        <w:tc>
          <w:tcPr>
            <w:tcW w:w="163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109" w:type="dxa"/>
            <w:gridSpan w:val="4"/>
            <w:vMerge w:val="continue"/>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2993"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13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306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308" w:hRule="atLeast"/>
        </w:trPr>
        <w:tc>
          <w:tcPr>
            <w:tcW w:w="4747" w:type="dxa"/>
            <w:gridSpan w:val="5"/>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栏次</w:t>
            </w:r>
          </w:p>
        </w:tc>
        <w:tc>
          <w:tcPr>
            <w:tcW w:w="299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1</w:t>
            </w:r>
          </w:p>
        </w:tc>
        <w:tc>
          <w:tcPr>
            <w:tcW w:w="31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2</w:t>
            </w:r>
          </w:p>
        </w:tc>
        <w:tc>
          <w:tcPr>
            <w:tcW w:w="306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3</w:t>
            </w:r>
          </w:p>
        </w:tc>
      </w:tr>
      <w:tr>
        <w:tblPrEx>
          <w:tblCellMar>
            <w:top w:w="0" w:type="dxa"/>
            <w:left w:w="108" w:type="dxa"/>
            <w:bottom w:w="0" w:type="dxa"/>
            <w:right w:w="108" w:type="dxa"/>
          </w:tblCellMar>
        </w:tblPrEx>
        <w:trPr>
          <w:trHeight w:val="308" w:hRule="atLeast"/>
        </w:trPr>
        <w:tc>
          <w:tcPr>
            <w:tcW w:w="4747" w:type="dxa"/>
            <w:gridSpan w:val="5"/>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合计</w:t>
            </w:r>
          </w:p>
        </w:tc>
        <w:tc>
          <w:tcPr>
            <w:tcW w:w="299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313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c>
          <w:tcPr>
            <w:tcW w:w="306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b/>
                <w:bCs/>
                <w:color w:val="auto"/>
                <w:sz w:val="22"/>
                <w:szCs w:val="22"/>
              </w:rPr>
            </w:pPr>
            <w:r>
              <w:rPr>
                <w:rFonts w:hint="eastAsia" w:ascii="宋体" w:hAnsi="宋体" w:eastAsia="宋体" w:cs="宋体"/>
                <w:b/>
                <w:bCs/>
                <w:color w:val="auto"/>
                <w:sz w:val="22"/>
                <w:szCs w:val="22"/>
              </w:rPr>
              <w:t>0.00</w:t>
            </w:r>
          </w:p>
        </w:tc>
      </w:tr>
      <w:tr>
        <w:tblPrEx>
          <w:tblCellMar>
            <w:top w:w="0" w:type="dxa"/>
            <w:left w:w="108" w:type="dxa"/>
            <w:bottom w:w="0" w:type="dxa"/>
            <w:right w:w="108" w:type="dxa"/>
          </w:tblCellMar>
        </w:tblPrEx>
        <w:trPr>
          <w:trHeight w:val="308" w:hRule="atLeast"/>
        </w:trPr>
        <w:tc>
          <w:tcPr>
            <w:tcW w:w="163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3109" w:type="dxa"/>
            <w:gridSpan w:val="4"/>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299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313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306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r>
      <w:tr>
        <w:tblPrEx>
          <w:tblCellMar>
            <w:top w:w="0" w:type="dxa"/>
            <w:left w:w="108" w:type="dxa"/>
            <w:bottom w:w="0" w:type="dxa"/>
            <w:right w:w="108" w:type="dxa"/>
          </w:tblCellMar>
        </w:tblPrEx>
        <w:trPr>
          <w:trHeight w:val="308" w:hRule="atLeast"/>
        </w:trPr>
        <w:tc>
          <w:tcPr>
            <w:tcW w:w="163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3109" w:type="dxa"/>
            <w:gridSpan w:val="4"/>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2"/>
                <w:szCs w:val="22"/>
              </w:rPr>
            </w:pPr>
          </w:p>
        </w:tc>
        <w:tc>
          <w:tcPr>
            <w:tcW w:w="299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313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c>
          <w:tcPr>
            <w:tcW w:w="306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p>
        </w:tc>
      </w:tr>
    </w:tbl>
    <w:p>
      <w:pPr>
        <w:widowControl/>
        <w:jc w:val="left"/>
        <w:textAlignment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注：本表反映部门本年度国有资本经营预算财政拨款支出情况。</w:t>
      </w:r>
    </w:p>
    <w:p>
      <w:pPr>
        <w:widowControl/>
        <w:ind w:firstLine="840" w:firstLineChars="400"/>
        <w:jc w:val="left"/>
        <w:textAlignment w:val="center"/>
        <w:rPr>
          <w:rFonts w:ascii="宋体" w:hAnsi="宋体" w:eastAsia="宋体" w:cs="宋体"/>
          <w:color w:val="auto"/>
          <w:kern w:val="0"/>
          <w:sz w:val="22"/>
          <w:szCs w:val="22"/>
        </w:rPr>
      </w:pPr>
      <w:r>
        <w:rPr>
          <w:rFonts w:hint="eastAsia" w:ascii="宋体" w:hAnsi="宋体" w:eastAsia="宋体" w:cs="宋体"/>
          <w:color w:val="auto"/>
          <w:szCs w:val="21"/>
        </w:rPr>
        <w:t>“本部门</w:t>
      </w:r>
      <w:r>
        <w:rPr>
          <w:rFonts w:ascii="Times New Roman" w:hAnsi="Times New Roman" w:eastAsia="宋体" w:cs="Times New Roman"/>
          <w:color w:val="auto"/>
          <w:szCs w:val="21"/>
        </w:rPr>
        <w:t>2022</w:t>
      </w:r>
      <w:r>
        <w:rPr>
          <w:rFonts w:hint="eastAsia" w:ascii="宋体" w:hAnsi="宋体" w:eastAsia="宋体" w:cs="宋体"/>
          <w:color w:val="auto"/>
          <w:szCs w:val="21"/>
        </w:rPr>
        <w:t>年度没有国有资本经营预算财政拨款收入，也没有国有资本经营预算财政拨款安排的支出，故本表无数据”。</w:t>
      </w:r>
      <w:r>
        <w:rPr>
          <w:rFonts w:hint="eastAsia" w:ascii="宋体" w:hAnsi="宋体" w:eastAsia="宋体" w:cs="宋体"/>
          <w:color w:val="auto"/>
          <w:kern w:val="0"/>
          <w:sz w:val="22"/>
          <w:szCs w:val="22"/>
        </w:rPr>
        <w:br w:type="page"/>
      </w:r>
    </w:p>
    <w:tbl>
      <w:tblPr>
        <w:tblStyle w:val="6"/>
        <w:tblW w:w="14036" w:type="dxa"/>
        <w:tblInd w:w="0" w:type="dxa"/>
        <w:tblLayout w:type="fixed"/>
        <w:tblCellMar>
          <w:top w:w="0" w:type="dxa"/>
          <w:left w:w="108" w:type="dxa"/>
          <w:bottom w:w="0" w:type="dxa"/>
          <w:right w:w="108" w:type="dxa"/>
        </w:tblCellMar>
      </w:tblPr>
      <w:tblGrid>
        <w:gridCol w:w="96"/>
        <w:gridCol w:w="1438"/>
        <w:gridCol w:w="1425"/>
        <w:gridCol w:w="1094"/>
        <w:gridCol w:w="1159"/>
        <w:gridCol w:w="1133"/>
        <w:gridCol w:w="1040"/>
        <w:gridCol w:w="1066"/>
        <w:gridCol w:w="1161"/>
        <w:gridCol w:w="1053"/>
        <w:gridCol w:w="1148"/>
        <w:gridCol w:w="1133"/>
        <w:gridCol w:w="1073"/>
        <w:gridCol w:w="17"/>
      </w:tblGrid>
      <w:tr>
        <w:tblPrEx>
          <w:tblCellMar>
            <w:top w:w="0" w:type="dxa"/>
            <w:left w:w="108" w:type="dxa"/>
            <w:bottom w:w="0" w:type="dxa"/>
            <w:right w:w="108" w:type="dxa"/>
          </w:tblCellMar>
        </w:tblPrEx>
        <w:trPr>
          <w:gridBefore w:val="1"/>
          <w:wBefore w:w="96" w:type="dxa"/>
          <w:trHeight w:val="308" w:hRule="atLeast"/>
        </w:trPr>
        <w:tc>
          <w:tcPr>
            <w:tcW w:w="13940" w:type="dxa"/>
            <w:gridSpan w:val="13"/>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r>
      <w:tr>
        <w:tblPrEx>
          <w:tblCellMar>
            <w:top w:w="0" w:type="dxa"/>
            <w:left w:w="108" w:type="dxa"/>
            <w:bottom w:w="0" w:type="dxa"/>
            <w:right w:w="108" w:type="dxa"/>
          </w:tblCellMar>
        </w:tblPrEx>
        <w:trPr>
          <w:gridAfter w:val="1"/>
          <w:wAfter w:w="17" w:type="dxa"/>
          <w:trHeight w:val="632" w:hRule="atLeast"/>
        </w:trPr>
        <w:tc>
          <w:tcPr>
            <w:tcW w:w="14019" w:type="dxa"/>
            <w:gridSpan w:val="13"/>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jc w:val="left"/>
              <w:rPr>
                <w:rFonts w:hint="default" w:ascii="仿宋" w:hAnsi="仿宋" w:eastAsia="仿宋" w:cs="仿宋"/>
                <w:color w:val="auto"/>
                <w:sz w:val="24"/>
              </w:rPr>
            </w:pPr>
            <w:r>
              <w:rPr>
                <w:rFonts w:hint="eastAsia" w:ascii="仿宋" w:hAnsi="仿宋" w:eastAsia="仿宋" w:cs="仿宋"/>
                <w:color w:val="auto"/>
                <w:sz w:val="24"/>
              </w:rPr>
              <w:t>表九：一般公共预算财政拨款安排的“三公”经费支出决算表</w:t>
            </w:r>
          </w:p>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kern w:val="0"/>
                <w:sz w:val="30"/>
                <w:szCs w:val="30"/>
              </w:rPr>
            </w:pPr>
          </w:p>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color w:val="auto"/>
                <w:sz w:val="30"/>
                <w:szCs w:val="30"/>
              </w:rPr>
            </w:pPr>
            <w:r>
              <w:rPr>
                <w:rFonts w:hint="eastAsia" w:ascii="宋体" w:hAnsi="宋体" w:eastAsia="宋体" w:cs="宋体"/>
                <w:color w:val="auto"/>
                <w:kern w:val="0"/>
                <w:sz w:val="32"/>
                <w:szCs w:val="32"/>
              </w:rPr>
              <w:t>一般公共预算财政拨款“三公”经费支出决算表</w:t>
            </w:r>
          </w:p>
        </w:tc>
      </w:tr>
      <w:tr>
        <w:tblPrEx>
          <w:tblCellMar>
            <w:top w:w="0" w:type="dxa"/>
            <w:left w:w="108" w:type="dxa"/>
            <w:bottom w:w="0" w:type="dxa"/>
            <w:right w:w="108" w:type="dxa"/>
          </w:tblCellMar>
        </w:tblPrEx>
        <w:trPr>
          <w:gridAfter w:val="1"/>
          <w:wAfter w:w="17" w:type="dxa"/>
          <w:trHeight w:val="316" w:hRule="atLeast"/>
        </w:trPr>
        <w:tc>
          <w:tcPr>
            <w:tcW w:w="1534" w:type="dxa"/>
            <w:gridSpan w:val="2"/>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425"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094"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159"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13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040"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06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161"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05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148"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13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073" w:type="dxa"/>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公开07表</w:t>
            </w:r>
          </w:p>
        </w:tc>
      </w:tr>
      <w:tr>
        <w:tblPrEx>
          <w:tblCellMar>
            <w:top w:w="0" w:type="dxa"/>
            <w:left w:w="108" w:type="dxa"/>
            <w:bottom w:w="0" w:type="dxa"/>
            <w:right w:w="108" w:type="dxa"/>
          </w:tblCellMar>
        </w:tblPrEx>
        <w:trPr>
          <w:gridAfter w:val="1"/>
          <w:wAfter w:w="17" w:type="dxa"/>
          <w:trHeight w:val="316" w:hRule="atLeast"/>
        </w:trPr>
        <w:tc>
          <w:tcPr>
            <w:tcW w:w="7385" w:type="dxa"/>
            <w:gridSpan w:val="7"/>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r>
              <w:rPr>
                <w:rFonts w:hint="eastAsia" w:ascii="宋体" w:hAnsi="宋体" w:eastAsia="宋体" w:cs="宋体"/>
                <w:color w:val="auto"/>
                <w:kern w:val="0"/>
                <w:sz w:val="20"/>
                <w:szCs w:val="20"/>
              </w:rPr>
              <w:t>部门：</w:t>
            </w:r>
            <w:r>
              <w:rPr>
                <w:rFonts w:hint="default" w:ascii="宋体" w:hAnsi="宋体" w:eastAsia="宋体" w:cs="宋体"/>
                <w:color w:val="auto"/>
                <w:sz w:val="20"/>
              </w:rPr>
              <w:t>河池市农业机械化服务中心</w:t>
            </w:r>
          </w:p>
        </w:tc>
        <w:tc>
          <w:tcPr>
            <w:tcW w:w="1066"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161"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053"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1148" w:type="dxa"/>
            <w:tcBorders>
              <w:top w:val="nil"/>
              <w:left w:val="nil"/>
              <w:bottom w:val="nil"/>
              <w:right w:val="nil"/>
            </w:tcBorders>
            <w:shd w:val="clear" w:color="auto" w:fill="auto"/>
            <w:noWrap/>
            <w:vAlign w:val="bottom"/>
          </w:tcPr>
          <w:p>
            <w:pPr>
              <w:keepNext w:val="0"/>
              <w:keepLines w:val="0"/>
              <w:suppressLineNumbers w:val="0"/>
              <w:spacing w:before="0" w:beforeAutospacing="0" w:after="0" w:afterAutospacing="0"/>
              <w:ind w:left="0" w:right="0"/>
              <w:rPr>
                <w:rFonts w:hint="default" w:ascii="Arial" w:hAnsi="Arial" w:cs="Arial"/>
                <w:color w:val="auto"/>
                <w:sz w:val="20"/>
                <w:szCs w:val="20"/>
              </w:rPr>
            </w:pPr>
          </w:p>
        </w:tc>
        <w:tc>
          <w:tcPr>
            <w:tcW w:w="2206" w:type="dxa"/>
            <w:gridSpan w:val="2"/>
            <w:tcBorders>
              <w:top w:val="nil"/>
              <w:left w:val="nil"/>
              <w:bottom w:val="nil"/>
              <w:right w:val="nil"/>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auto"/>
                <w:sz w:val="20"/>
                <w:szCs w:val="20"/>
              </w:rPr>
            </w:pPr>
            <w:r>
              <w:rPr>
                <w:rFonts w:hint="eastAsia" w:ascii="宋体" w:hAnsi="宋体" w:eastAsia="宋体" w:cs="宋体"/>
                <w:color w:val="auto"/>
                <w:kern w:val="0"/>
                <w:sz w:val="20"/>
                <w:szCs w:val="20"/>
              </w:rPr>
              <w:t>金额单位：万元</w:t>
            </w:r>
          </w:p>
        </w:tc>
      </w:tr>
      <w:tr>
        <w:tblPrEx>
          <w:tblCellMar>
            <w:top w:w="0" w:type="dxa"/>
            <w:left w:w="108" w:type="dxa"/>
            <w:bottom w:w="0" w:type="dxa"/>
            <w:right w:w="108" w:type="dxa"/>
          </w:tblCellMar>
        </w:tblPrEx>
        <w:trPr>
          <w:gridAfter w:val="1"/>
          <w:wAfter w:w="17" w:type="dxa"/>
          <w:trHeight w:val="326" w:hRule="atLeast"/>
        </w:trPr>
        <w:tc>
          <w:tcPr>
            <w:tcW w:w="73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预算数</w:t>
            </w:r>
          </w:p>
        </w:tc>
        <w:tc>
          <w:tcPr>
            <w:tcW w:w="6634" w:type="dxa"/>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决算数</w:t>
            </w:r>
          </w:p>
        </w:tc>
      </w:tr>
      <w:tr>
        <w:tblPrEx>
          <w:tblCellMar>
            <w:top w:w="0" w:type="dxa"/>
            <w:left w:w="108" w:type="dxa"/>
            <w:bottom w:w="0" w:type="dxa"/>
            <w:right w:w="108" w:type="dxa"/>
          </w:tblCellMar>
        </w:tblPrEx>
        <w:trPr>
          <w:gridAfter w:val="1"/>
          <w:wAfter w:w="17" w:type="dxa"/>
          <w:trHeight w:val="326" w:hRule="atLeast"/>
        </w:trPr>
        <w:tc>
          <w:tcPr>
            <w:tcW w:w="1534"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合计</w:t>
            </w:r>
          </w:p>
        </w:tc>
        <w:tc>
          <w:tcPr>
            <w:tcW w:w="142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因公出国（境）费</w:t>
            </w:r>
          </w:p>
        </w:tc>
        <w:tc>
          <w:tcPr>
            <w:tcW w:w="3386"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公务用车购置及运行费</w:t>
            </w:r>
          </w:p>
        </w:tc>
        <w:tc>
          <w:tcPr>
            <w:tcW w:w="104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公务接待费</w:t>
            </w:r>
          </w:p>
        </w:tc>
        <w:tc>
          <w:tcPr>
            <w:tcW w:w="106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合计</w:t>
            </w:r>
          </w:p>
        </w:tc>
        <w:tc>
          <w:tcPr>
            <w:tcW w:w="116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因公出国（境）费</w:t>
            </w:r>
          </w:p>
        </w:tc>
        <w:tc>
          <w:tcPr>
            <w:tcW w:w="3334"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公务用车购置及运行费</w:t>
            </w:r>
          </w:p>
        </w:tc>
        <w:tc>
          <w:tcPr>
            <w:tcW w:w="107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公务接待费</w:t>
            </w:r>
          </w:p>
        </w:tc>
      </w:tr>
      <w:tr>
        <w:tblPrEx>
          <w:tblCellMar>
            <w:top w:w="0" w:type="dxa"/>
            <w:left w:w="108" w:type="dxa"/>
            <w:bottom w:w="0" w:type="dxa"/>
            <w:right w:w="108" w:type="dxa"/>
          </w:tblCellMar>
        </w:tblPrEx>
        <w:trPr>
          <w:gridAfter w:val="1"/>
          <w:wAfter w:w="17" w:type="dxa"/>
          <w:trHeight w:val="642" w:hRule="atLeast"/>
        </w:trPr>
        <w:tc>
          <w:tcPr>
            <w:tcW w:w="153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42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0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小计</w:t>
            </w:r>
          </w:p>
        </w:tc>
        <w:tc>
          <w:tcPr>
            <w:tcW w:w="11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公务用车购置费</w:t>
            </w:r>
          </w:p>
        </w:tc>
        <w:tc>
          <w:tcPr>
            <w:tcW w:w="11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公务用车运行费</w:t>
            </w:r>
          </w:p>
        </w:tc>
        <w:tc>
          <w:tcPr>
            <w:tcW w:w="1040"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06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161"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c>
          <w:tcPr>
            <w:tcW w:w="105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小计</w:t>
            </w:r>
          </w:p>
        </w:tc>
        <w:tc>
          <w:tcPr>
            <w:tcW w:w="11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公务用车购置费</w:t>
            </w:r>
          </w:p>
        </w:tc>
        <w:tc>
          <w:tcPr>
            <w:tcW w:w="11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公务用车运行费</w:t>
            </w:r>
          </w:p>
        </w:tc>
        <w:tc>
          <w:tcPr>
            <w:tcW w:w="1073"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szCs w:val="22"/>
              </w:rPr>
            </w:pPr>
          </w:p>
        </w:tc>
      </w:tr>
      <w:tr>
        <w:tblPrEx>
          <w:tblCellMar>
            <w:top w:w="0" w:type="dxa"/>
            <w:left w:w="108" w:type="dxa"/>
            <w:bottom w:w="0" w:type="dxa"/>
            <w:right w:w="108" w:type="dxa"/>
          </w:tblCellMar>
        </w:tblPrEx>
        <w:trPr>
          <w:gridAfter w:val="1"/>
          <w:wAfter w:w="17" w:type="dxa"/>
          <w:trHeight w:val="959" w:hRule="atLeast"/>
        </w:trPr>
        <w:tc>
          <w:tcPr>
            <w:tcW w:w="1534" w:type="dxa"/>
            <w:gridSpan w:val="2"/>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1</w:t>
            </w: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p>
        </w:tc>
        <w:tc>
          <w:tcPr>
            <w:tcW w:w="142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2</w:t>
            </w:r>
          </w:p>
        </w:tc>
        <w:tc>
          <w:tcPr>
            <w:tcW w:w="10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3</w:t>
            </w:r>
          </w:p>
        </w:tc>
        <w:tc>
          <w:tcPr>
            <w:tcW w:w="115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4</w:t>
            </w:r>
          </w:p>
        </w:tc>
        <w:tc>
          <w:tcPr>
            <w:tcW w:w="11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5</w:t>
            </w:r>
          </w:p>
        </w:tc>
        <w:tc>
          <w:tcPr>
            <w:tcW w:w="104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6</w:t>
            </w:r>
          </w:p>
        </w:tc>
        <w:tc>
          <w:tcPr>
            <w:tcW w:w="10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7</w:t>
            </w:r>
          </w:p>
        </w:tc>
        <w:tc>
          <w:tcPr>
            <w:tcW w:w="1161"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8</w:t>
            </w:r>
          </w:p>
        </w:tc>
        <w:tc>
          <w:tcPr>
            <w:tcW w:w="105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9</w:t>
            </w:r>
          </w:p>
        </w:tc>
        <w:tc>
          <w:tcPr>
            <w:tcW w:w="11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10</w:t>
            </w:r>
          </w:p>
        </w:tc>
        <w:tc>
          <w:tcPr>
            <w:tcW w:w="113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11</w:t>
            </w:r>
          </w:p>
        </w:tc>
        <w:tc>
          <w:tcPr>
            <w:tcW w:w="107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2"/>
                <w:szCs w:val="22"/>
              </w:rPr>
            </w:pPr>
            <w:r>
              <w:rPr>
                <w:rFonts w:hint="eastAsia" w:ascii="宋体" w:hAnsi="宋体" w:eastAsia="宋体" w:cs="宋体"/>
                <w:color w:val="auto"/>
                <w:kern w:val="0"/>
                <w:sz w:val="22"/>
                <w:szCs w:val="22"/>
              </w:rPr>
              <w:t>12</w:t>
            </w:r>
          </w:p>
        </w:tc>
      </w:tr>
      <w:tr>
        <w:tblPrEx>
          <w:tblCellMar>
            <w:top w:w="0" w:type="dxa"/>
            <w:left w:w="108" w:type="dxa"/>
            <w:bottom w:w="0" w:type="dxa"/>
            <w:right w:w="108" w:type="dxa"/>
          </w:tblCellMar>
        </w:tblPrEx>
        <w:trPr>
          <w:gridAfter w:val="1"/>
          <w:wAfter w:w="17" w:type="dxa"/>
          <w:trHeight w:val="642" w:hRule="atLeast"/>
        </w:trPr>
        <w:tc>
          <w:tcPr>
            <w:tcW w:w="1534"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0.89</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c>
          <w:tcPr>
            <w:tcW w:w="1094"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c>
          <w:tcPr>
            <w:tcW w:w="1159"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c>
          <w:tcPr>
            <w:tcW w:w="113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default" w:ascii="宋体" w:hAnsi="宋体" w:eastAsia="宋体" w:cs="宋体"/>
                <w:color w:val="auto"/>
                <w:sz w:val="22"/>
                <w:szCs w:val="22"/>
              </w:rPr>
              <w:t>0.00</w:t>
            </w:r>
          </w:p>
        </w:tc>
        <w:tc>
          <w:tcPr>
            <w:tcW w:w="10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0.89</w:t>
            </w:r>
          </w:p>
        </w:tc>
        <w:tc>
          <w:tcPr>
            <w:tcW w:w="106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0.89</w:t>
            </w:r>
          </w:p>
        </w:tc>
        <w:tc>
          <w:tcPr>
            <w:tcW w:w="1161"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c>
          <w:tcPr>
            <w:tcW w:w="1053"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c>
          <w:tcPr>
            <w:tcW w:w="1148" w:type="dxa"/>
            <w:tcBorders>
              <w:top w:val="nil"/>
              <w:left w:val="nil"/>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right"/>
              <w:rPr>
                <w:rFonts w:hint="default" w:ascii="宋体" w:hAnsi="宋体" w:eastAsia="宋体" w:cs="宋体"/>
                <w:color w:val="auto"/>
                <w:sz w:val="22"/>
                <w:szCs w:val="22"/>
              </w:rPr>
            </w:pPr>
            <w:r>
              <w:rPr>
                <w:rFonts w:hint="eastAsia" w:ascii="宋体" w:hAnsi="宋体" w:eastAsia="宋体" w:cs="宋体"/>
                <w:color w:val="auto"/>
                <w:sz w:val="22"/>
                <w:szCs w:val="22"/>
              </w:rPr>
              <w:t>0.00</w:t>
            </w:r>
          </w:p>
        </w:tc>
        <w:tc>
          <w:tcPr>
            <w:tcW w:w="1133" w:type="dxa"/>
            <w:tcBorders>
              <w:top w:val="nil"/>
              <w:left w:val="nil"/>
              <w:bottom w:val="single" w:color="000000" w:sz="4" w:space="0"/>
              <w:right w:val="single" w:color="000000" w:sz="4" w:space="0"/>
            </w:tcBorders>
            <w:shd w:val="clear" w:color="auto" w:fill="auto"/>
            <w:noWrap/>
          </w:tcPr>
          <w:p>
            <w:pPr>
              <w:keepNext w:val="0"/>
              <w:keepLines w:val="0"/>
              <w:suppressLineNumbers w:val="0"/>
              <w:spacing w:before="0" w:beforeAutospacing="0" w:after="0" w:afterAutospacing="0"/>
              <w:ind w:left="0" w:right="0"/>
              <w:jc w:val="right"/>
              <w:rPr>
                <w:rFonts w:hint="default"/>
                <w:color w:val="auto"/>
              </w:rPr>
            </w:pPr>
            <w:r>
              <w:rPr>
                <w:rFonts w:hint="default"/>
                <w:color w:val="auto"/>
              </w:rPr>
              <w:t>0.00</w:t>
            </w:r>
          </w:p>
        </w:tc>
        <w:tc>
          <w:tcPr>
            <w:tcW w:w="1073" w:type="dxa"/>
            <w:tcBorders>
              <w:top w:val="nil"/>
              <w:left w:val="nil"/>
              <w:bottom w:val="single" w:color="000000" w:sz="4" w:space="0"/>
              <w:right w:val="single" w:color="000000" w:sz="4" w:space="0"/>
            </w:tcBorders>
            <w:shd w:val="clear" w:color="auto" w:fill="auto"/>
            <w:noWrap/>
          </w:tcPr>
          <w:p>
            <w:pPr>
              <w:keepNext w:val="0"/>
              <w:keepLines w:val="0"/>
              <w:suppressLineNumbers w:val="0"/>
              <w:spacing w:before="0" w:beforeAutospacing="0" w:after="0" w:afterAutospacing="0"/>
              <w:ind w:left="0" w:right="0"/>
              <w:jc w:val="right"/>
              <w:rPr>
                <w:rFonts w:hint="default"/>
                <w:color w:val="auto"/>
              </w:rPr>
            </w:pPr>
            <w:r>
              <w:rPr>
                <w:rFonts w:hint="eastAsia" w:ascii="宋体" w:hAnsi="宋体" w:eastAsia="宋体" w:cs="宋体"/>
                <w:color w:val="auto"/>
                <w:kern w:val="0"/>
                <w:sz w:val="22"/>
                <w:szCs w:val="22"/>
              </w:rPr>
              <w:t>0.89</w:t>
            </w:r>
          </w:p>
        </w:tc>
      </w:tr>
      <w:tr>
        <w:tblPrEx>
          <w:tblCellMar>
            <w:top w:w="0" w:type="dxa"/>
            <w:left w:w="108" w:type="dxa"/>
            <w:bottom w:w="0" w:type="dxa"/>
            <w:right w:w="108" w:type="dxa"/>
          </w:tblCellMar>
        </w:tblPrEx>
        <w:trPr>
          <w:gridAfter w:val="1"/>
          <w:wAfter w:w="17" w:type="dxa"/>
          <w:trHeight w:val="642" w:hRule="atLeast"/>
        </w:trPr>
        <w:tc>
          <w:tcPr>
            <w:tcW w:w="14019" w:type="dxa"/>
            <w:gridSpan w:val="13"/>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r>
              <w:rPr>
                <w:rFonts w:hint="eastAsia" w:ascii="宋体" w:hAnsi="宋体" w:eastAsia="宋体" w:cs="宋体"/>
                <w:color w:val="auto"/>
                <w:kern w:val="0"/>
                <w:sz w:val="22"/>
                <w:szCs w:val="22"/>
              </w:rPr>
              <w:t>注：本表反映部门本年度“三公”经费支出预决算情况。其中，预算数为“三公”经费全年预算数，反映按规定程序调整后的预算数；决算数是包括当年一般公共预算财政拨款和以前年度结转资金安排的实际支出。</w:t>
            </w:r>
          </w:p>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kern w:val="0"/>
                <w:sz w:val="22"/>
                <w:szCs w:val="22"/>
              </w:rPr>
            </w:pPr>
          </w:p>
        </w:tc>
      </w:tr>
    </w:tbl>
    <w:p>
      <w:pPr>
        <w:ind w:firstLine="420"/>
        <w:jc w:val="left"/>
        <w:rPr>
          <w:rFonts w:ascii="仿宋" w:hAnsi="仿宋" w:eastAsia="仿宋" w:cs="仿宋"/>
          <w:color w:val="auto"/>
          <w:sz w:val="24"/>
        </w:rPr>
        <w:sectPr>
          <w:pgSz w:w="16838" w:h="11906" w:orient="landscape"/>
          <w:pgMar w:top="1417" w:right="1440" w:bottom="1417" w:left="1440" w:header="851" w:footer="992" w:gutter="0"/>
          <w:cols w:space="0" w:num="1"/>
          <w:rtlGutter w:val="0"/>
          <w:docGrid w:type="lines" w:linePitch="312" w:charSpace="0"/>
        </w:sectPr>
      </w:pPr>
    </w:p>
    <w:p>
      <w:pPr>
        <w:jc w:val="left"/>
        <w:rPr>
          <w:rFonts w:ascii="仿宋" w:hAnsi="仿宋" w:eastAsia="仿宋" w:cs="仿宋"/>
          <w:color w:val="auto"/>
          <w:sz w:val="24"/>
        </w:rPr>
      </w:pPr>
    </w:p>
    <w:p>
      <w:pPr>
        <w:jc w:val="center"/>
        <w:rPr>
          <w:rFonts w:ascii="仿宋" w:hAnsi="仿宋" w:eastAsia="仿宋" w:cs="仿宋"/>
          <w:color w:val="auto"/>
          <w:sz w:val="32"/>
          <w:szCs w:val="32"/>
        </w:rPr>
      </w:pPr>
      <w:r>
        <w:rPr>
          <w:rFonts w:hint="eastAsia" w:ascii="黑体" w:hAnsi="黑体" w:eastAsia="黑体" w:cs="黑体"/>
          <w:color w:val="auto"/>
          <w:sz w:val="32"/>
          <w:szCs w:val="32"/>
        </w:rPr>
        <w:t>第三部分：</w:t>
      </w:r>
      <w:r>
        <w:rPr>
          <w:rFonts w:ascii="黑体" w:hAnsi="黑体" w:eastAsia="黑体" w:cs="黑体"/>
          <w:color w:val="auto"/>
          <w:sz w:val="32"/>
        </w:rPr>
        <w:t>河池市农业机械化服务中心</w:t>
      </w:r>
      <w:r>
        <w:rPr>
          <w:rFonts w:hint="eastAsia" w:ascii="黑体" w:hAnsi="黑体" w:eastAsia="黑体" w:cs="黑体"/>
          <w:color w:val="auto"/>
          <w:sz w:val="32"/>
          <w:szCs w:val="32"/>
        </w:rPr>
        <w:t>2022年度部门决算情况说明</w:t>
      </w:r>
    </w:p>
    <w:p>
      <w:pPr>
        <w:jc w:val="left"/>
        <w:rPr>
          <w:rFonts w:ascii="黑体" w:hAnsi="黑体" w:eastAsia="黑体" w:cs="黑体"/>
          <w:color w:val="auto"/>
          <w:sz w:val="32"/>
          <w:szCs w:val="32"/>
        </w:rPr>
      </w:pPr>
      <w:r>
        <w:rPr>
          <w:rFonts w:hint="eastAsia" w:ascii="黑体" w:hAnsi="黑体" w:eastAsia="黑体" w:cs="黑体"/>
          <w:color w:val="auto"/>
          <w:sz w:val="32"/>
          <w:szCs w:val="32"/>
        </w:rPr>
        <w:t>一、2022年度收入支出决算总体情况</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（一）本部门2022年度总收入</w:t>
      </w:r>
      <w:r>
        <w:rPr>
          <w:rFonts w:ascii="仿宋" w:hAnsi="仿宋" w:eastAsia="仿宋" w:cs="仿宋"/>
          <w:color w:val="auto"/>
          <w:sz w:val="32"/>
        </w:rPr>
        <w:t>534.85</w:t>
      </w:r>
      <w:r>
        <w:rPr>
          <w:rFonts w:hint="eastAsia" w:ascii="仿宋" w:hAnsi="仿宋" w:eastAsia="仿宋" w:cs="仿宋"/>
          <w:color w:val="auto"/>
          <w:sz w:val="32"/>
          <w:szCs w:val="32"/>
        </w:rPr>
        <w:t>万元，较2021年度决算数</w:t>
      </w:r>
      <w:r>
        <w:rPr>
          <w:rFonts w:ascii="仿宋" w:hAnsi="仿宋" w:eastAsia="仿宋" w:cs="仿宋"/>
          <w:color w:val="auto"/>
          <w:sz w:val="32"/>
        </w:rPr>
        <w:t>减少328.31</w:t>
      </w:r>
      <w:r>
        <w:rPr>
          <w:rFonts w:hint="eastAsia" w:ascii="仿宋" w:hAnsi="仿宋" w:eastAsia="仿宋" w:cs="仿宋"/>
          <w:color w:val="auto"/>
          <w:sz w:val="32"/>
          <w:szCs w:val="32"/>
        </w:rPr>
        <w:t>万元，</w:t>
      </w:r>
      <w:r>
        <w:rPr>
          <w:rFonts w:ascii="仿宋" w:hAnsi="仿宋" w:eastAsia="仿宋" w:cs="仿宋"/>
          <w:color w:val="auto"/>
          <w:sz w:val="32"/>
        </w:rPr>
        <w:t>下降38.04%</w:t>
      </w:r>
      <w:r>
        <w:rPr>
          <w:rFonts w:hint="eastAsia" w:ascii="仿宋" w:hAnsi="仿宋" w:eastAsia="仿宋" w:cs="仿宋"/>
          <w:color w:val="auto"/>
          <w:sz w:val="32"/>
          <w:szCs w:val="32"/>
        </w:rPr>
        <w:t>，其中本年收入</w:t>
      </w:r>
      <w:r>
        <w:rPr>
          <w:rFonts w:ascii="仿宋" w:hAnsi="仿宋" w:eastAsia="仿宋" w:cs="仿宋"/>
          <w:color w:val="auto"/>
          <w:sz w:val="32"/>
        </w:rPr>
        <w:t>532.68</w:t>
      </w:r>
      <w:r>
        <w:rPr>
          <w:rFonts w:hint="eastAsia" w:ascii="仿宋" w:hAnsi="仿宋" w:eastAsia="仿宋" w:cs="仿宋"/>
          <w:color w:val="auto"/>
          <w:sz w:val="32"/>
          <w:szCs w:val="32"/>
        </w:rPr>
        <w:t>万元。收入具体情况如下。</w:t>
      </w:r>
    </w:p>
    <w:p>
      <w:pPr>
        <w:ind w:firstLine="640" w:firstLineChars="200"/>
        <w:jc w:val="left"/>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1.一般公共预算财政拨款收入</w:t>
      </w:r>
      <w:r>
        <w:rPr>
          <w:rFonts w:ascii="仿宋" w:hAnsi="仿宋" w:eastAsia="仿宋" w:cs="仿宋"/>
          <w:color w:val="auto"/>
          <w:sz w:val="32"/>
        </w:rPr>
        <w:t>532.48</w:t>
      </w:r>
      <w:r>
        <w:rPr>
          <w:rFonts w:hint="eastAsia" w:ascii="仿宋" w:hAnsi="仿宋" w:eastAsia="仿宋" w:cs="仿宋"/>
          <w:color w:val="auto"/>
          <w:sz w:val="32"/>
          <w:szCs w:val="32"/>
        </w:rPr>
        <w:t>万元，为</w:t>
      </w:r>
      <w:r>
        <w:rPr>
          <w:rFonts w:hint="eastAsia" w:ascii="仿宋" w:hAnsi="仿宋" w:eastAsia="仿宋" w:cs="仿宋"/>
          <w:color w:val="auto"/>
          <w:sz w:val="32"/>
          <w:szCs w:val="32"/>
          <w:lang w:eastAsia="zh-CN"/>
        </w:rPr>
        <w:t>河池市</w:t>
      </w:r>
      <w:r>
        <w:rPr>
          <w:rFonts w:hint="eastAsia" w:ascii="仿宋" w:hAnsi="仿宋" w:eastAsia="仿宋" w:cs="仿宋"/>
          <w:color w:val="auto"/>
          <w:sz w:val="32"/>
          <w:szCs w:val="32"/>
        </w:rPr>
        <w:t>本级财政当年拨付的资金。较2021年度决算数</w:t>
      </w:r>
      <w:r>
        <w:rPr>
          <w:rFonts w:ascii="仿宋" w:hAnsi="仿宋" w:eastAsia="仿宋" w:cs="仿宋"/>
          <w:color w:val="auto"/>
          <w:sz w:val="32"/>
        </w:rPr>
        <w:t>减少323.08</w:t>
      </w:r>
      <w:r>
        <w:rPr>
          <w:rFonts w:hint="eastAsia" w:ascii="仿宋" w:hAnsi="仿宋" w:eastAsia="仿宋" w:cs="仿宋"/>
          <w:color w:val="auto"/>
          <w:sz w:val="32"/>
          <w:szCs w:val="32"/>
        </w:rPr>
        <w:t>万元，</w:t>
      </w:r>
      <w:r>
        <w:rPr>
          <w:rFonts w:ascii="仿宋" w:hAnsi="仿宋" w:eastAsia="仿宋" w:cs="仿宋"/>
          <w:color w:val="auto"/>
          <w:sz w:val="32"/>
        </w:rPr>
        <w:t>下降37.76%</w:t>
      </w:r>
      <w:r>
        <w:rPr>
          <w:rFonts w:hint="eastAsia" w:ascii="仿宋" w:hAnsi="仿宋" w:eastAsia="仿宋" w:cs="仿宋"/>
          <w:color w:val="auto"/>
          <w:sz w:val="32"/>
          <w:szCs w:val="32"/>
        </w:rPr>
        <w:t>，主要原因</w:t>
      </w:r>
      <w:r>
        <w:rPr>
          <w:rFonts w:hint="eastAsia" w:ascii="仿宋" w:hAnsi="仿宋" w:eastAsia="仿宋" w:cs="仿宋"/>
          <w:color w:val="auto"/>
          <w:sz w:val="32"/>
          <w:szCs w:val="32"/>
          <w:lang w:eastAsia="zh-CN"/>
        </w:rPr>
        <w:t>是</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本单位机构改革，部分在职人员和退休人员划转到其他单位，</w:t>
      </w:r>
      <w:r>
        <w:rPr>
          <w:rFonts w:hint="eastAsia" w:ascii="仿宋" w:hAnsi="仿宋" w:eastAsia="仿宋" w:cs="仿宋"/>
          <w:color w:val="auto"/>
          <w:sz w:val="32"/>
          <w:szCs w:val="32"/>
          <w:lang w:val="en-US" w:eastAsia="zh-CN"/>
        </w:rPr>
        <w:t>2022年人员经费、公用经费等年初预算财政拨款收入较2021年减少。</w:t>
      </w:r>
    </w:p>
    <w:p>
      <w:pPr>
        <w:ind w:firstLine="640" w:firstLineChars="200"/>
        <w:jc w:val="left"/>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2.政府性基金预算财政拨款收入</w:t>
      </w:r>
      <w:r>
        <w:rPr>
          <w:rFonts w:ascii="仿宋" w:hAnsi="仿宋" w:eastAsia="仿宋" w:cs="仿宋"/>
          <w:color w:val="auto"/>
          <w:sz w:val="32"/>
        </w:rPr>
        <w:t>0.00</w:t>
      </w:r>
      <w:r>
        <w:rPr>
          <w:rFonts w:hint="eastAsia" w:ascii="仿宋" w:hAnsi="仿宋" w:eastAsia="仿宋" w:cs="仿宋"/>
          <w:color w:val="auto"/>
          <w:sz w:val="32"/>
          <w:szCs w:val="32"/>
        </w:rPr>
        <w:t>万元，为</w:t>
      </w:r>
      <w:r>
        <w:rPr>
          <w:rFonts w:hint="eastAsia" w:ascii="仿宋" w:hAnsi="仿宋" w:eastAsia="仿宋" w:cs="仿宋"/>
          <w:color w:val="auto"/>
          <w:sz w:val="32"/>
          <w:szCs w:val="32"/>
          <w:lang w:eastAsia="zh-CN"/>
        </w:rPr>
        <w:t>河池市</w:t>
      </w:r>
      <w:r>
        <w:rPr>
          <w:rFonts w:hint="eastAsia" w:ascii="仿宋" w:hAnsi="仿宋" w:eastAsia="仿宋" w:cs="仿宋"/>
          <w:color w:val="auto"/>
          <w:sz w:val="32"/>
          <w:szCs w:val="32"/>
        </w:rPr>
        <w:t>本级财政当年拨付的资金。较2021年度决算数</w:t>
      </w:r>
      <w:r>
        <w:rPr>
          <w:rFonts w:ascii="仿宋" w:hAnsi="仿宋" w:eastAsia="仿宋" w:cs="仿宋"/>
          <w:color w:val="auto"/>
          <w:sz w:val="32"/>
        </w:rPr>
        <w:t>增加0.00</w:t>
      </w:r>
      <w:r>
        <w:rPr>
          <w:rFonts w:hint="eastAsia" w:ascii="仿宋" w:hAnsi="仿宋" w:eastAsia="仿宋" w:cs="仿宋"/>
          <w:color w:val="auto"/>
          <w:sz w:val="32"/>
          <w:szCs w:val="32"/>
        </w:rPr>
        <w:t>万元，</w:t>
      </w:r>
      <w:r>
        <w:rPr>
          <w:rFonts w:ascii="仿宋" w:hAnsi="仿宋" w:eastAsia="仿宋" w:cs="仿宋"/>
          <w:color w:val="auto"/>
          <w:sz w:val="32"/>
        </w:rPr>
        <w:t>增长0%</w:t>
      </w:r>
      <w:r>
        <w:rPr>
          <w:rFonts w:hint="eastAsia" w:ascii="仿宋" w:hAnsi="仿宋" w:eastAsia="仿宋" w:cs="仿宋"/>
          <w:color w:val="auto"/>
          <w:sz w:val="32"/>
          <w:szCs w:val="32"/>
        </w:rPr>
        <w:t>，主要原因</w:t>
      </w:r>
      <w:r>
        <w:rPr>
          <w:rFonts w:hint="eastAsia" w:ascii="仿宋" w:hAnsi="仿宋" w:eastAsia="仿宋" w:cs="仿宋"/>
          <w:color w:val="auto"/>
          <w:sz w:val="32"/>
          <w:szCs w:val="32"/>
          <w:lang w:eastAsia="zh-CN"/>
        </w:rPr>
        <w:t>是</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本单位</w:t>
      </w:r>
      <w:r>
        <w:rPr>
          <w:rFonts w:hint="eastAsia" w:ascii="仿宋" w:hAnsi="仿宋" w:eastAsia="仿宋" w:cs="仿宋"/>
          <w:color w:val="auto"/>
          <w:sz w:val="32"/>
          <w:szCs w:val="32"/>
          <w:lang w:val="en-US" w:eastAsia="zh-CN"/>
        </w:rPr>
        <w:t>2022年、2021年没有政府性基金预算财政拨款收入。</w:t>
      </w:r>
    </w:p>
    <w:p>
      <w:pPr>
        <w:ind w:firstLine="640" w:firstLineChars="200"/>
        <w:jc w:val="left"/>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3.国有资本经营预算财政拨款收入</w:t>
      </w:r>
      <w:r>
        <w:rPr>
          <w:rFonts w:ascii="仿宋" w:hAnsi="仿宋" w:eastAsia="仿宋" w:cs="仿宋"/>
          <w:color w:val="auto"/>
          <w:sz w:val="32"/>
        </w:rPr>
        <w:t>0.00</w:t>
      </w:r>
      <w:r>
        <w:rPr>
          <w:rFonts w:hint="eastAsia" w:ascii="仿宋" w:hAnsi="仿宋" w:eastAsia="仿宋" w:cs="仿宋"/>
          <w:color w:val="auto"/>
          <w:sz w:val="32"/>
          <w:szCs w:val="32"/>
        </w:rPr>
        <w:t>万元。为</w:t>
      </w:r>
      <w:r>
        <w:rPr>
          <w:rFonts w:hint="eastAsia" w:ascii="仿宋" w:hAnsi="仿宋" w:eastAsia="仿宋" w:cs="Times New Roman"/>
          <w:color w:val="auto"/>
          <w:sz w:val="32"/>
          <w:szCs w:val="32"/>
        </w:rPr>
        <w:t>河池市农业机械化服务中心</w:t>
      </w:r>
      <w:r>
        <w:rPr>
          <w:rFonts w:hint="eastAsia" w:ascii="仿宋" w:hAnsi="仿宋" w:eastAsia="仿宋" w:cs="仿宋"/>
          <w:color w:val="auto"/>
          <w:sz w:val="32"/>
          <w:szCs w:val="32"/>
        </w:rPr>
        <w:t>本级财政当年拨付的资金。较2021年度决算数</w:t>
      </w:r>
      <w:r>
        <w:rPr>
          <w:rFonts w:ascii="仿宋" w:hAnsi="仿宋" w:eastAsia="仿宋" w:cs="仿宋"/>
          <w:color w:val="auto"/>
          <w:sz w:val="32"/>
        </w:rPr>
        <w:t>增加0.00</w:t>
      </w:r>
      <w:r>
        <w:rPr>
          <w:rFonts w:hint="eastAsia" w:ascii="仿宋" w:hAnsi="仿宋" w:eastAsia="仿宋" w:cs="仿宋"/>
          <w:color w:val="auto"/>
          <w:sz w:val="32"/>
          <w:szCs w:val="32"/>
        </w:rPr>
        <w:t>万元,</w:t>
      </w:r>
      <w:r>
        <w:rPr>
          <w:rFonts w:ascii="仿宋" w:hAnsi="仿宋" w:eastAsia="仿宋" w:cs="仿宋"/>
          <w:color w:val="auto"/>
          <w:sz w:val="32"/>
        </w:rPr>
        <w:t>增长0%</w:t>
      </w:r>
      <w:r>
        <w:rPr>
          <w:rFonts w:hint="eastAsia" w:ascii="仿宋" w:hAnsi="仿宋" w:eastAsia="仿宋" w:cs="仿宋"/>
          <w:color w:val="auto"/>
          <w:sz w:val="32"/>
          <w:szCs w:val="32"/>
        </w:rPr>
        <w:t>，主要原因</w:t>
      </w:r>
      <w:r>
        <w:rPr>
          <w:rFonts w:hint="eastAsia" w:ascii="仿宋" w:hAnsi="仿宋" w:eastAsia="仿宋" w:cs="仿宋"/>
          <w:color w:val="auto"/>
          <w:sz w:val="32"/>
          <w:szCs w:val="32"/>
          <w:lang w:eastAsia="zh-CN"/>
        </w:rPr>
        <w:t>是</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本单位</w:t>
      </w:r>
      <w:r>
        <w:rPr>
          <w:rFonts w:hint="eastAsia" w:ascii="仿宋" w:hAnsi="仿宋" w:eastAsia="仿宋" w:cs="仿宋"/>
          <w:color w:val="auto"/>
          <w:sz w:val="32"/>
          <w:szCs w:val="32"/>
          <w:lang w:val="en-US" w:eastAsia="zh-CN"/>
        </w:rPr>
        <w:t>2022年、2021年没有国有资本经营预算财政拨款收入。</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4.上级补助收入</w:t>
      </w:r>
      <w:r>
        <w:rPr>
          <w:rFonts w:ascii="仿宋" w:hAnsi="仿宋" w:eastAsia="仿宋" w:cs="仿宋"/>
          <w:color w:val="auto"/>
          <w:sz w:val="32"/>
        </w:rPr>
        <w:t>0.00</w:t>
      </w:r>
      <w:r>
        <w:rPr>
          <w:rFonts w:hint="eastAsia" w:ascii="仿宋" w:hAnsi="仿宋" w:eastAsia="仿宋" w:cs="仿宋"/>
          <w:color w:val="auto"/>
          <w:sz w:val="32"/>
          <w:szCs w:val="32"/>
        </w:rPr>
        <w:t> 万元，为上级部门当年拨付的资金。较2021年度决算数</w:t>
      </w:r>
      <w:r>
        <w:rPr>
          <w:rFonts w:ascii="仿宋" w:hAnsi="仿宋" w:eastAsia="仿宋" w:cs="仿宋"/>
          <w:color w:val="auto"/>
          <w:sz w:val="32"/>
        </w:rPr>
        <w:t>增加0.00</w:t>
      </w:r>
      <w:r>
        <w:rPr>
          <w:rFonts w:hint="eastAsia" w:ascii="仿宋" w:hAnsi="仿宋" w:eastAsia="仿宋" w:cs="仿宋"/>
          <w:color w:val="auto"/>
          <w:sz w:val="32"/>
          <w:szCs w:val="32"/>
        </w:rPr>
        <w:t>万元,</w:t>
      </w:r>
      <w:r>
        <w:rPr>
          <w:rFonts w:ascii="仿宋" w:hAnsi="仿宋" w:eastAsia="仿宋" w:cs="仿宋"/>
          <w:color w:val="auto"/>
          <w:sz w:val="32"/>
        </w:rPr>
        <w:t>增长0%</w:t>
      </w:r>
      <w:r>
        <w:rPr>
          <w:rFonts w:hint="eastAsia" w:ascii="仿宋" w:hAnsi="仿宋" w:eastAsia="仿宋" w:cs="仿宋"/>
          <w:color w:val="auto"/>
          <w:sz w:val="32"/>
          <w:szCs w:val="32"/>
        </w:rPr>
        <w:t>，主要原因是：本单位</w:t>
      </w:r>
      <w:r>
        <w:rPr>
          <w:rFonts w:hint="eastAsia" w:ascii="仿宋" w:hAnsi="仿宋" w:eastAsia="仿宋" w:cs="仿宋"/>
          <w:color w:val="auto"/>
          <w:sz w:val="32"/>
          <w:szCs w:val="32"/>
          <w:lang w:val="en-US" w:eastAsia="zh-CN"/>
        </w:rPr>
        <w:t>2022年</w:t>
      </w:r>
      <w:r>
        <w:rPr>
          <w:rFonts w:hint="eastAsia" w:ascii="仿宋" w:hAnsi="仿宋" w:eastAsia="仿宋" w:cs="仿宋"/>
          <w:color w:val="auto"/>
          <w:sz w:val="32"/>
          <w:szCs w:val="32"/>
        </w:rPr>
        <w:t>没有上级补助收入。</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5.事业收入</w:t>
      </w:r>
      <w:r>
        <w:rPr>
          <w:rFonts w:ascii="仿宋" w:hAnsi="仿宋" w:eastAsia="仿宋" w:cs="仿宋"/>
          <w:color w:val="auto"/>
          <w:sz w:val="32"/>
        </w:rPr>
        <w:t>0.00</w:t>
      </w:r>
      <w:r>
        <w:rPr>
          <w:rFonts w:hint="eastAsia" w:ascii="仿宋" w:hAnsi="仿宋" w:eastAsia="仿宋" w:cs="仿宋"/>
          <w:color w:val="auto"/>
          <w:sz w:val="32"/>
          <w:szCs w:val="32"/>
        </w:rPr>
        <w:t> 万元，为事业单位开展业务活动取得的收入。较2021年度决算数</w:t>
      </w:r>
      <w:r>
        <w:rPr>
          <w:rFonts w:ascii="仿宋" w:hAnsi="仿宋" w:eastAsia="仿宋" w:cs="仿宋"/>
          <w:color w:val="auto"/>
          <w:sz w:val="32"/>
        </w:rPr>
        <w:t>增加0.00</w:t>
      </w:r>
      <w:r>
        <w:rPr>
          <w:rFonts w:hint="eastAsia" w:ascii="仿宋" w:hAnsi="仿宋" w:eastAsia="仿宋" w:cs="仿宋"/>
          <w:color w:val="auto"/>
          <w:sz w:val="32"/>
          <w:szCs w:val="32"/>
        </w:rPr>
        <w:t>万元,</w:t>
      </w:r>
      <w:r>
        <w:rPr>
          <w:rFonts w:ascii="仿宋" w:hAnsi="仿宋" w:eastAsia="仿宋" w:cs="仿宋"/>
          <w:color w:val="auto"/>
          <w:sz w:val="32"/>
        </w:rPr>
        <w:t>增长0%</w:t>
      </w:r>
      <w:r>
        <w:rPr>
          <w:rFonts w:hint="eastAsia" w:ascii="仿宋" w:hAnsi="仿宋" w:eastAsia="仿宋" w:cs="仿宋"/>
          <w:color w:val="auto"/>
          <w:sz w:val="32"/>
          <w:szCs w:val="32"/>
        </w:rPr>
        <w:t>，主要原因是：本单位</w:t>
      </w:r>
      <w:r>
        <w:rPr>
          <w:rFonts w:hint="eastAsia" w:ascii="仿宋" w:hAnsi="仿宋" w:eastAsia="仿宋" w:cs="仿宋"/>
          <w:color w:val="auto"/>
          <w:sz w:val="32"/>
          <w:szCs w:val="32"/>
          <w:lang w:val="en-US" w:eastAsia="zh-CN"/>
        </w:rPr>
        <w:t>2022年</w:t>
      </w:r>
      <w:r>
        <w:rPr>
          <w:rFonts w:hint="eastAsia" w:ascii="仿宋" w:hAnsi="仿宋" w:eastAsia="仿宋" w:cs="仿宋"/>
          <w:color w:val="auto"/>
          <w:sz w:val="32"/>
          <w:szCs w:val="32"/>
        </w:rPr>
        <w:t>没有事业收入。</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6.</w:t>
      </w:r>
      <w:r>
        <w:rPr>
          <w:rFonts w:hint="eastAsia" w:ascii="仿宋" w:hAnsi="仿宋" w:eastAsia="仿宋" w:cs="仿宋"/>
          <w:color w:val="auto"/>
          <w:sz w:val="36"/>
          <w:szCs w:val="36"/>
        </w:rPr>
        <w:t>经营收入</w:t>
      </w:r>
      <w:r>
        <w:rPr>
          <w:rFonts w:hint="eastAsia" w:ascii="仿宋" w:hAnsi="仿宋" w:eastAsia="仿宋" w:cs="仿宋"/>
          <w:color w:val="auto"/>
          <w:sz w:val="32"/>
          <w:szCs w:val="32"/>
        </w:rPr>
        <w:t>0.00万,为事业单位在业务活动之外开展非独立核算经营活动取得的收入。较2021年度决算数</w:t>
      </w:r>
      <w:r>
        <w:rPr>
          <w:rFonts w:ascii="仿宋" w:hAnsi="仿宋" w:eastAsia="仿宋" w:cs="仿宋"/>
          <w:color w:val="auto"/>
          <w:sz w:val="32"/>
        </w:rPr>
        <w:t>增加0.00</w:t>
      </w:r>
      <w:r>
        <w:rPr>
          <w:rFonts w:hint="eastAsia" w:ascii="仿宋" w:hAnsi="仿宋" w:eastAsia="仿宋" w:cs="仿宋"/>
          <w:color w:val="auto"/>
          <w:sz w:val="32"/>
          <w:szCs w:val="32"/>
        </w:rPr>
        <w:t>万元，</w:t>
      </w:r>
      <w:r>
        <w:rPr>
          <w:rFonts w:ascii="仿宋" w:hAnsi="仿宋" w:eastAsia="仿宋" w:cs="仿宋"/>
          <w:color w:val="auto"/>
          <w:sz w:val="32"/>
        </w:rPr>
        <w:t>增长0%</w:t>
      </w:r>
      <w:r>
        <w:rPr>
          <w:rFonts w:hint="eastAsia" w:ascii="仿宋" w:hAnsi="仿宋" w:eastAsia="仿宋" w:cs="仿宋"/>
          <w:color w:val="auto"/>
          <w:sz w:val="32"/>
          <w:szCs w:val="32"/>
        </w:rPr>
        <w:t>，主要原因是：本单位</w:t>
      </w:r>
      <w:r>
        <w:rPr>
          <w:rFonts w:hint="eastAsia" w:ascii="仿宋" w:hAnsi="仿宋" w:eastAsia="仿宋" w:cs="仿宋"/>
          <w:color w:val="auto"/>
          <w:sz w:val="32"/>
          <w:szCs w:val="32"/>
          <w:lang w:val="en-US" w:eastAsia="zh-CN"/>
        </w:rPr>
        <w:t>2022年</w:t>
      </w:r>
      <w:r>
        <w:rPr>
          <w:rFonts w:hint="eastAsia" w:ascii="仿宋" w:hAnsi="仿宋" w:eastAsia="仿宋" w:cs="仿宋"/>
          <w:color w:val="auto"/>
          <w:sz w:val="32"/>
          <w:szCs w:val="32"/>
        </w:rPr>
        <w:t>没有经营性收入。</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7.附属单位上缴收入</w:t>
      </w:r>
      <w:r>
        <w:rPr>
          <w:rFonts w:ascii="仿宋" w:hAnsi="仿宋" w:eastAsia="仿宋" w:cs="仿宋"/>
          <w:color w:val="auto"/>
          <w:sz w:val="32"/>
        </w:rPr>
        <w:t>0.00</w:t>
      </w:r>
      <w:r>
        <w:rPr>
          <w:rFonts w:hint="eastAsia" w:ascii="仿宋" w:hAnsi="仿宋" w:eastAsia="仿宋" w:cs="仿宋"/>
          <w:color w:val="auto"/>
          <w:sz w:val="32"/>
          <w:szCs w:val="32"/>
        </w:rPr>
        <w:t> 万元。较2021年度决算数</w:t>
      </w:r>
      <w:r>
        <w:rPr>
          <w:rFonts w:ascii="仿宋" w:hAnsi="仿宋" w:eastAsia="仿宋" w:cs="仿宋"/>
          <w:color w:val="auto"/>
          <w:sz w:val="32"/>
        </w:rPr>
        <w:t>增加0.00</w:t>
      </w:r>
      <w:r>
        <w:rPr>
          <w:rFonts w:hint="eastAsia" w:ascii="仿宋" w:hAnsi="仿宋" w:eastAsia="仿宋" w:cs="仿宋"/>
          <w:color w:val="auto"/>
          <w:sz w:val="32"/>
          <w:szCs w:val="32"/>
        </w:rPr>
        <w:t>万元，</w:t>
      </w:r>
      <w:r>
        <w:rPr>
          <w:rFonts w:ascii="仿宋" w:hAnsi="仿宋" w:eastAsia="仿宋" w:cs="仿宋"/>
          <w:color w:val="auto"/>
          <w:sz w:val="32"/>
        </w:rPr>
        <w:t>增长0%</w:t>
      </w:r>
      <w:r>
        <w:rPr>
          <w:rFonts w:hint="eastAsia" w:ascii="仿宋" w:hAnsi="仿宋" w:eastAsia="仿宋" w:cs="仿宋"/>
          <w:color w:val="auto"/>
          <w:sz w:val="32"/>
          <w:szCs w:val="32"/>
        </w:rPr>
        <w:t>，主要原因是：本单位</w:t>
      </w:r>
      <w:r>
        <w:rPr>
          <w:rFonts w:hint="eastAsia" w:ascii="仿宋" w:hAnsi="仿宋" w:eastAsia="仿宋" w:cs="仿宋"/>
          <w:color w:val="auto"/>
          <w:sz w:val="32"/>
          <w:szCs w:val="32"/>
          <w:lang w:val="en-US" w:eastAsia="zh-CN"/>
        </w:rPr>
        <w:t>2022年</w:t>
      </w:r>
      <w:r>
        <w:rPr>
          <w:rFonts w:hint="eastAsia" w:ascii="仿宋" w:hAnsi="仿宋" w:eastAsia="仿宋" w:cs="仿宋"/>
          <w:color w:val="auto"/>
          <w:sz w:val="32"/>
          <w:szCs w:val="32"/>
        </w:rPr>
        <w:t>无附属单位上缴收入。</w:t>
      </w:r>
    </w:p>
    <w:p>
      <w:pPr>
        <w:ind w:firstLine="640" w:firstLineChars="20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8.其他收入</w:t>
      </w:r>
      <w:r>
        <w:rPr>
          <w:rFonts w:ascii="仿宋" w:hAnsi="仿宋" w:eastAsia="仿宋" w:cs="仿宋"/>
          <w:color w:val="auto"/>
          <w:sz w:val="32"/>
        </w:rPr>
        <w:t>0.20</w:t>
      </w:r>
      <w:r>
        <w:rPr>
          <w:rFonts w:hint="eastAsia" w:ascii="仿宋" w:hAnsi="仿宋" w:eastAsia="仿宋" w:cs="仿宋"/>
          <w:color w:val="auto"/>
          <w:sz w:val="32"/>
          <w:szCs w:val="32"/>
        </w:rPr>
        <w:t>万元,为预算单位在“财政拨款收入”“事业收入”“经营收入”之外取得的收入。较2021年度决算数</w:t>
      </w:r>
      <w:r>
        <w:rPr>
          <w:rFonts w:ascii="仿宋" w:hAnsi="仿宋" w:eastAsia="仿宋" w:cs="仿宋"/>
          <w:color w:val="auto"/>
          <w:sz w:val="32"/>
        </w:rPr>
        <w:t>减少0.25</w:t>
      </w:r>
      <w:r>
        <w:rPr>
          <w:rFonts w:hint="eastAsia" w:ascii="仿宋" w:hAnsi="仿宋" w:eastAsia="仿宋" w:cs="仿宋"/>
          <w:color w:val="auto"/>
          <w:sz w:val="32"/>
          <w:szCs w:val="32"/>
        </w:rPr>
        <w:t>万元，</w:t>
      </w:r>
      <w:r>
        <w:rPr>
          <w:rFonts w:ascii="仿宋" w:hAnsi="仿宋" w:eastAsia="仿宋" w:cs="仿宋"/>
          <w:color w:val="auto"/>
          <w:sz w:val="32"/>
        </w:rPr>
        <w:t>下降55.56%</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eastAsia="zh-CN"/>
        </w:rPr>
        <w:t>本单位机构改革，人员较少。</w:t>
      </w:r>
      <w:r>
        <w:rPr>
          <w:rFonts w:hint="eastAsia" w:ascii="仿宋" w:hAnsi="仿宋" w:eastAsia="仿宋" w:cs="仿宋"/>
          <w:color w:val="auto"/>
          <w:sz w:val="32"/>
          <w:szCs w:val="32"/>
          <w:lang w:val="en-US" w:eastAsia="zh-CN"/>
        </w:rPr>
        <w:t>2022年税务扣缴义务退付手续费</w:t>
      </w:r>
      <w:r>
        <w:rPr>
          <w:rFonts w:hint="eastAsia" w:ascii="仿宋" w:hAnsi="仿宋" w:eastAsia="仿宋" w:cs="仿宋"/>
          <w:color w:val="auto"/>
          <w:sz w:val="32"/>
          <w:szCs w:val="32"/>
          <w:lang w:eastAsia="zh-CN"/>
        </w:rPr>
        <w:t>较</w:t>
      </w:r>
      <w:r>
        <w:rPr>
          <w:rFonts w:hint="eastAsia" w:ascii="仿宋" w:hAnsi="仿宋" w:eastAsia="仿宋" w:cs="仿宋"/>
          <w:color w:val="auto"/>
          <w:sz w:val="32"/>
          <w:szCs w:val="32"/>
          <w:lang w:val="en-US" w:eastAsia="zh-CN"/>
        </w:rPr>
        <w:t>2021年减少。</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9.使用非财政拨款结余</w:t>
      </w:r>
      <w:r>
        <w:rPr>
          <w:rFonts w:ascii="仿宋" w:hAnsi="仿宋" w:eastAsia="仿宋" w:cs="仿宋"/>
          <w:color w:val="auto"/>
          <w:sz w:val="32"/>
        </w:rPr>
        <w:t>0.00</w:t>
      </w:r>
      <w:r>
        <w:rPr>
          <w:rFonts w:hint="eastAsia" w:ascii="仿宋" w:hAnsi="仿宋" w:eastAsia="仿宋" w:cs="仿宋"/>
          <w:color w:val="auto"/>
          <w:sz w:val="32"/>
          <w:szCs w:val="32"/>
        </w:rPr>
        <w:t>万元,主要是所属事业单位在当年的“财政拨款收入”“事业收入”“经营收入”及“其他收入”不能保证其支出的情况下，使用以前年度积累的非财政拨款结余弥补本年度收支缺口的资金。较2021年度决算数</w:t>
      </w:r>
      <w:r>
        <w:rPr>
          <w:rFonts w:ascii="仿宋" w:hAnsi="仿宋" w:eastAsia="仿宋" w:cs="仿宋"/>
          <w:color w:val="auto"/>
          <w:sz w:val="32"/>
        </w:rPr>
        <w:t>增加0.00</w:t>
      </w:r>
      <w:r>
        <w:rPr>
          <w:rFonts w:hint="eastAsia" w:ascii="仿宋" w:hAnsi="仿宋" w:eastAsia="仿宋" w:cs="仿宋"/>
          <w:color w:val="auto"/>
          <w:sz w:val="32"/>
          <w:szCs w:val="32"/>
        </w:rPr>
        <w:t>万元，</w:t>
      </w:r>
      <w:r>
        <w:rPr>
          <w:rFonts w:ascii="仿宋" w:hAnsi="仿宋" w:eastAsia="仿宋" w:cs="仿宋"/>
          <w:color w:val="auto"/>
          <w:sz w:val="32"/>
        </w:rPr>
        <w:t>增长0%</w:t>
      </w:r>
      <w:r>
        <w:rPr>
          <w:rFonts w:hint="eastAsia" w:ascii="仿宋" w:hAnsi="仿宋" w:eastAsia="仿宋" w:cs="仿宋"/>
          <w:color w:val="auto"/>
          <w:sz w:val="32"/>
          <w:szCs w:val="32"/>
        </w:rPr>
        <w:t>，主要原因是：本单位没有非财政拨款结余。</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10.上年结转和结余</w:t>
      </w:r>
      <w:r>
        <w:rPr>
          <w:rFonts w:ascii="仿宋" w:hAnsi="仿宋" w:eastAsia="仿宋" w:cs="仿宋"/>
          <w:color w:val="auto"/>
          <w:sz w:val="32"/>
        </w:rPr>
        <w:t>2.17</w:t>
      </w:r>
      <w:r>
        <w:rPr>
          <w:rFonts w:hint="eastAsia" w:ascii="仿宋" w:hAnsi="仿宋" w:eastAsia="仿宋" w:cs="仿宋"/>
          <w:color w:val="auto"/>
          <w:sz w:val="32"/>
          <w:szCs w:val="32"/>
        </w:rPr>
        <w:t>万元，为以前年度支出预算因客观条件变化未执行完毕、结转到本年度按有关规定继续使用的资金。较2021年度决算数</w:t>
      </w:r>
      <w:r>
        <w:rPr>
          <w:rFonts w:ascii="仿宋" w:hAnsi="仿宋" w:eastAsia="仿宋" w:cs="仿宋"/>
          <w:color w:val="auto"/>
          <w:sz w:val="32"/>
        </w:rPr>
        <w:t>减少4.98</w:t>
      </w:r>
      <w:r>
        <w:rPr>
          <w:rFonts w:hint="eastAsia" w:ascii="仿宋" w:hAnsi="仿宋" w:eastAsia="仿宋" w:cs="仿宋"/>
          <w:color w:val="auto"/>
          <w:sz w:val="32"/>
          <w:szCs w:val="32"/>
        </w:rPr>
        <w:t>万元，</w:t>
      </w:r>
      <w:r>
        <w:rPr>
          <w:rFonts w:ascii="仿宋" w:hAnsi="仿宋" w:eastAsia="仿宋" w:cs="仿宋"/>
          <w:color w:val="auto"/>
          <w:sz w:val="32"/>
        </w:rPr>
        <w:t>下降69.65%</w:t>
      </w:r>
      <w:r>
        <w:rPr>
          <w:rFonts w:hint="eastAsia" w:ascii="仿宋" w:hAnsi="仿宋" w:eastAsia="仿宋" w:cs="仿宋"/>
          <w:color w:val="auto"/>
          <w:sz w:val="32"/>
          <w:szCs w:val="32"/>
        </w:rPr>
        <w:t>，主要原因：</w:t>
      </w:r>
      <w:r>
        <w:rPr>
          <w:rFonts w:hint="eastAsia" w:ascii="仿宋_GB2312" w:hAnsi="仿宋_GB2312" w:eastAsia="仿宋_GB2312" w:cs="仿宋_GB2312"/>
          <w:color w:val="auto"/>
          <w:kern w:val="0"/>
          <w:sz w:val="32"/>
          <w:szCs w:val="32"/>
          <w:highlight w:val="none"/>
          <w:lang w:val="en-US" w:eastAsia="zh-CN"/>
        </w:rPr>
        <w:t>本年度单位业务工作开展需要</w:t>
      </w:r>
      <w:r>
        <w:rPr>
          <w:rFonts w:hint="eastAsia" w:ascii="仿宋" w:hAnsi="仿宋" w:eastAsia="仿宋" w:cs="仿宋"/>
          <w:color w:val="auto"/>
          <w:sz w:val="32"/>
          <w:szCs w:val="32"/>
        </w:rPr>
        <w:t>。</w:t>
      </w:r>
    </w:p>
    <w:p>
      <w:pPr>
        <w:jc w:val="center"/>
        <w:rPr>
          <w:rFonts w:ascii="仿宋" w:hAnsi="仿宋" w:eastAsia="仿宋" w:cs="仿宋"/>
          <w:color w:val="auto"/>
          <w:sz w:val="32"/>
          <w:szCs w:val="32"/>
        </w:rPr>
      </w:pPr>
      <w:r>
        <w:rPr>
          <w:rFonts w:hint="eastAsia" w:ascii="仿宋" w:hAnsi="仿宋" w:eastAsia="仿宋" w:cs="仿宋"/>
          <w:color w:val="auto"/>
          <w:sz w:val="32"/>
          <w:szCs w:val="32"/>
        </w:rPr>
        <w:drawing>
          <wp:inline distT="0" distB="0" distL="114300" distR="114300">
            <wp:extent cx="5080000" cy="3810000"/>
            <wp:effectExtent l="4445" t="4445" r="5715" b="107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（二）本部门2022年度总支出</w:t>
      </w:r>
      <w:r>
        <w:rPr>
          <w:rFonts w:ascii="仿宋" w:hAnsi="仿宋" w:eastAsia="仿宋" w:cs="仿宋"/>
          <w:color w:val="auto"/>
          <w:sz w:val="32"/>
        </w:rPr>
        <w:t>534.85</w:t>
      </w:r>
      <w:r>
        <w:rPr>
          <w:rFonts w:hint="eastAsia" w:ascii="仿宋" w:hAnsi="仿宋" w:eastAsia="仿宋" w:cs="仿宋"/>
          <w:color w:val="auto"/>
          <w:sz w:val="32"/>
          <w:szCs w:val="32"/>
        </w:rPr>
        <w:t>万元，其中本年支出</w:t>
      </w:r>
      <w:r>
        <w:rPr>
          <w:rFonts w:ascii="仿宋" w:hAnsi="仿宋" w:eastAsia="仿宋" w:cs="仿宋"/>
          <w:color w:val="auto"/>
          <w:sz w:val="32"/>
        </w:rPr>
        <w:t>532.68</w:t>
      </w:r>
      <w:r>
        <w:rPr>
          <w:rFonts w:hint="eastAsia" w:ascii="仿宋" w:hAnsi="仿宋" w:eastAsia="仿宋" w:cs="仿宋"/>
          <w:color w:val="auto"/>
          <w:sz w:val="32"/>
          <w:szCs w:val="32"/>
        </w:rPr>
        <w:t>万元，较2021年度决算数</w:t>
      </w:r>
      <w:r>
        <w:rPr>
          <w:rFonts w:ascii="仿宋" w:hAnsi="仿宋" w:eastAsia="仿宋" w:cs="仿宋"/>
          <w:color w:val="auto"/>
          <w:sz w:val="32"/>
        </w:rPr>
        <w:t>减少328.31</w:t>
      </w:r>
      <w:r>
        <w:rPr>
          <w:rFonts w:hint="eastAsia" w:ascii="仿宋" w:hAnsi="仿宋" w:eastAsia="仿宋" w:cs="仿宋"/>
          <w:color w:val="auto"/>
          <w:sz w:val="32"/>
          <w:szCs w:val="32"/>
        </w:rPr>
        <w:t>万元，</w:t>
      </w:r>
      <w:r>
        <w:rPr>
          <w:rFonts w:ascii="仿宋" w:hAnsi="仿宋" w:eastAsia="仿宋" w:cs="仿宋"/>
          <w:color w:val="auto"/>
          <w:sz w:val="32"/>
        </w:rPr>
        <w:t>下降38.04%</w:t>
      </w:r>
      <w:r>
        <w:rPr>
          <w:rFonts w:hint="eastAsia" w:ascii="仿宋" w:hAnsi="仿宋" w:eastAsia="仿宋" w:cs="仿宋"/>
          <w:color w:val="auto"/>
          <w:sz w:val="32"/>
          <w:szCs w:val="32"/>
        </w:rPr>
        <w:t>。支出具体情况如下：</w:t>
      </w:r>
    </w:p>
    <w:p>
      <w:pPr>
        <w:ind w:firstLine="640" w:firstLineChars="200"/>
        <w:jc w:val="left"/>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1</w:t>
      </w:r>
      <w:r>
        <w:rPr>
          <w:rFonts w:ascii="仿宋" w:hAnsi="仿宋" w:eastAsia="仿宋" w:cs="仿宋"/>
          <w:color w:val="auto"/>
          <w:sz w:val="32"/>
        </w:rPr>
        <w:t>.</w:t>
      </w:r>
      <w:r>
        <w:rPr>
          <w:rFonts w:hint="eastAsia" w:ascii="仿宋" w:hAnsi="仿宋" w:eastAsia="仿宋" w:cs="仿宋"/>
          <w:color w:val="auto"/>
          <w:sz w:val="32"/>
          <w:szCs w:val="32"/>
        </w:rPr>
        <w:t>教育支出（205</w:t>
      </w:r>
      <w:r>
        <w:rPr>
          <w:rFonts w:ascii="Calibri" w:hAnsi="Calibri" w:eastAsia="宋体" w:cs="Times New Roman"/>
          <w:color w:val="auto"/>
        </w:rPr>
        <w:t xml:space="preserve"> </w:t>
      </w:r>
      <w:r>
        <w:rPr>
          <w:rFonts w:hint="eastAsia" w:ascii="仿宋" w:hAnsi="仿宋" w:eastAsia="仿宋" w:cs="仿宋"/>
          <w:color w:val="auto"/>
          <w:sz w:val="32"/>
          <w:szCs w:val="32"/>
        </w:rPr>
        <w:t>类）2.50万元：主要用于：</w:t>
      </w:r>
      <w:r>
        <w:rPr>
          <w:rFonts w:hint="eastAsia" w:ascii="仿宋_GB2312" w:hAnsi="仿宋_GB2312" w:eastAsia="仿宋_GB2312" w:cs="仿宋_GB2312"/>
          <w:color w:val="auto"/>
          <w:kern w:val="0"/>
          <w:sz w:val="32"/>
          <w:szCs w:val="32"/>
          <w:highlight w:val="none"/>
          <w:lang w:val="en-US" w:eastAsia="zh-CN"/>
        </w:rPr>
        <w:t>主要用于职工教育培训等方面支出</w:t>
      </w:r>
      <w:r>
        <w:rPr>
          <w:rFonts w:hint="eastAsia" w:ascii="仿宋" w:hAnsi="仿宋" w:eastAsia="仿宋" w:cs="仿宋"/>
          <w:color w:val="auto"/>
          <w:sz w:val="32"/>
          <w:szCs w:val="32"/>
        </w:rPr>
        <w:t>。较2021年度决算数减少2.21万元，下降46.92%，主要原因是：</w:t>
      </w:r>
      <w:r>
        <w:rPr>
          <w:rFonts w:hint="eastAsia" w:ascii="仿宋" w:hAnsi="仿宋" w:eastAsia="仿宋" w:cs="仿宋"/>
          <w:color w:val="auto"/>
          <w:sz w:val="32"/>
          <w:szCs w:val="32"/>
          <w:lang w:eastAsia="zh-CN"/>
        </w:rPr>
        <w:t>单位机构改革，人员划转减少，年初预算教育经费减少，故决算支出减少。</w:t>
      </w:r>
    </w:p>
    <w:p>
      <w:pPr>
        <w:ind w:firstLine="640" w:firstLineChars="200"/>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2</w:t>
      </w:r>
      <w:r>
        <w:rPr>
          <w:rFonts w:ascii="仿宋" w:hAnsi="仿宋" w:eastAsia="仿宋" w:cs="仿宋"/>
          <w:color w:val="auto"/>
          <w:sz w:val="32"/>
        </w:rPr>
        <w:t>.</w:t>
      </w:r>
      <w:r>
        <w:rPr>
          <w:rFonts w:hint="eastAsia" w:ascii="仿宋" w:hAnsi="仿宋" w:eastAsia="仿宋" w:cs="仿宋"/>
          <w:color w:val="auto"/>
          <w:sz w:val="32"/>
          <w:szCs w:val="32"/>
        </w:rPr>
        <w:t>社会保障和就业支出（208</w:t>
      </w:r>
      <w:r>
        <w:rPr>
          <w:rFonts w:ascii="Calibri" w:hAnsi="Calibri" w:eastAsia="宋体" w:cs="Times New Roman"/>
          <w:color w:val="auto"/>
        </w:rPr>
        <w:t xml:space="preserve"> </w:t>
      </w:r>
      <w:r>
        <w:rPr>
          <w:rFonts w:hint="eastAsia" w:ascii="仿宋" w:hAnsi="仿宋" w:eastAsia="仿宋" w:cs="仿宋"/>
          <w:color w:val="auto"/>
          <w:sz w:val="32"/>
          <w:szCs w:val="32"/>
        </w:rPr>
        <w:t>类）47.92万元：</w:t>
      </w:r>
      <w:r>
        <w:rPr>
          <w:rFonts w:hint="eastAsia" w:ascii="仿宋_GB2312" w:hAnsi="仿宋_GB2312" w:eastAsia="仿宋_GB2312" w:cs="仿宋_GB2312"/>
          <w:color w:val="auto"/>
          <w:kern w:val="0"/>
          <w:sz w:val="32"/>
          <w:szCs w:val="32"/>
          <w:highlight w:val="none"/>
          <w:lang w:val="en-US" w:eastAsia="zh-CN"/>
        </w:rPr>
        <w:t>主要用于：社会保险缴纳等方面支出</w:t>
      </w:r>
      <w:r>
        <w:rPr>
          <w:rFonts w:hint="eastAsia" w:ascii="仿宋" w:hAnsi="仿宋" w:eastAsia="仿宋" w:cs="仿宋"/>
          <w:color w:val="auto"/>
          <w:sz w:val="32"/>
          <w:szCs w:val="32"/>
        </w:rPr>
        <w:t>。较2021年度决算数减少19.47万元，下降28.89%，主要原因是：</w:t>
      </w:r>
      <w:r>
        <w:rPr>
          <w:rFonts w:hint="eastAsia" w:ascii="仿宋" w:hAnsi="仿宋" w:eastAsia="仿宋" w:cs="仿宋"/>
          <w:color w:val="auto"/>
          <w:sz w:val="32"/>
          <w:szCs w:val="32"/>
          <w:lang w:eastAsia="zh-CN"/>
        </w:rPr>
        <w:t>单位机构改革，人员划转减少，年初预算社会保障和就业经费减少，故决算支出减少。</w:t>
      </w:r>
    </w:p>
    <w:p>
      <w:pPr>
        <w:ind w:firstLine="640" w:firstLineChars="200"/>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3</w:t>
      </w:r>
      <w:r>
        <w:rPr>
          <w:rFonts w:ascii="仿宋" w:hAnsi="仿宋" w:eastAsia="仿宋" w:cs="仿宋"/>
          <w:color w:val="auto"/>
          <w:sz w:val="32"/>
        </w:rPr>
        <w:t>.</w:t>
      </w:r>
      <w:r>
        <w:rPr>
          <w:rFonts w:hint="eastAsia" w:ascii="仿宋" w:hAnsi="仿宋" w:eastAsia="仿宋" w:cs="仿宋"/>
          <w:color w:val="auto"/>
          <w:sz w:val="32"/>
          <w:szCs w:val="32"/>
        </w:rPr>
        <w:t>卫生健康支出（210</w:t>
      </w:r>
      <w:r>
        <w:rPr>
          <w:rFonts w:ascii="Calibri" w:hAnsi="Calibri" w:eastAsia="宋体" w:cs="Times New Roman"/>
          <w:color w:val="auto"/>
        </w:rPr>
        <w:t xml:space="preserve"> </w:t>
      </w:r>
      <w:r>
        <w:rPr>
          <w:rFonts w:hint="eastAsia" w:ascii="仿宋" w:hAnsi="仿宋" w:eastAsia="仿宋" w:cs="仿宋"/>
          <w:color w:val="auto"/>
          <w:sz w:val="32"/>
          <w:szCs w:val="32"/>
        </w:rPr>
        <w:t>类）42.61万元：主要用于：</w:t>
      </w:r>
      <w:r>
        <w:rPr>
          <w:rFonts w:hint="eastAsia" w:ascii="仿宋_GB2312" w:hAnsi="仿宋_GB2312" w:eastAsia="仿宋_GB2312" w:cs="仿宋_GB2312"/>
          <w:color w:val="auto"/>
          <w:kern w:val="0"/>
          <w:sz w:val="32"/>
          <w:szCs w:val="32"/>
          <w:highlight w:val="none"/>
          <w:lang w:val="en-US" w:eastAsia="zh-CN"/>
        </w:rPr>
        <w:t>职工医疗保险等方面支出</w:t>
      </w:r>
      <w:r>
        <w:rPr>
          <w:rFonts w:hint="eastAsia" w:ascii="仿宋" w:hAnsi="仿宋" w:eastAsia="仿宋" w:cs="仿宋"/>
          <w:color w:val="auto"/>
          <w:sz w:val="32"/>
          <w:szCs w:val="32"/>
        </w:rPr>
        <w:t>。较2021年度决算数减少24.87万元，下降36.86%，主要原因是：</w:t>
      </w:r>
      <w:r>
        <w:rPr>
          <w:rFonts w:hint="eastAsia" w:ascii="仿宋" w:hAnsi="仿宋" w:eastAsia="仿宋" w:cs="仿宋"/>
          <w:color w:val="auto"/>
          <w:sz w:val="32"/>
          <w:szCs w:val="32"/>
          <w:lang w:eastAsia="zh-CN"/>
        </w:rPr>
        <w:t>单位机构改革，人员划转减少，年初预算</w:t>
      </w:r>
      <w:r>
        <w:rPr>
          <w:rFonts w:hint="eastAsia" w:ascii="仿宋" w:hAnsi="仿宋" w:eastAsia="仿宋" w:cs="仿宋"/>
          <w:color w:val="auto"/>
          <w:sz w:val="32"/>
          <w:szCs w:val="32"/>
        </w:rPr>
        <w:t>卫生健康支出</w:t>
      </w:r>
      <w:r>
        <w:rPr>
          <w:rFonts w:hint="eastAsia" w:ascii="仿宋" w:hAnsi="仿宋" w:eastAsia="仿宋" w:cs="仿宋"/>
          <w:color w:val="auto"/>
          <w:sz w:val="32"/>
          <w:szCs w:val="32"/>
          <w:lang w:eastAsia="zh-CN"/>
        </w:rPr>
        <w:t>经费减少，故决算支出减少。</w:t>
      </w:r>
    </w:p>
    <w:p>
      <w:pPr>
        <w:ind w:firstLine="640" w:firstLineChars="200"/>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4</w:t>
      </w:r>
      <w:r>
        <w:rPr>
          <w:rFonts w:ascii="仿宋" w:hAnsi="仿宋" w:eastAsia="仿宋" w:cs="仿宋"/>
          <w:color w:val="auto"/>
          <w:sz w:val="32"/>
        </w:rPr>
        <w:t>.</w:t>
      </w:r>
      <w:r>
        <w:rPr>
          <w:rFonts w:hint="eastAsia" w:ascii="仿宋" w:hAnsi="仿宋" w:eastAsia="仿宋" w:cs="仿宋"/>
          <w:color w:val="auto"/>
          <w:sz w:val="32"/>
          <w:szCs w:val="32"/>
        </w:rPr>
        <w:t>农林水支出（213</w:t>
      </w:r>
      <w:r>
        <w:rPr>
          <w:rFonts w:ascii="Calibri" w:hAnsi="Calibri" w:eastAsia="宋体" w:cs="Times New Roman"/>
          <w:color w:val="auto"/>
        </w:rPr>
        <w:t xml:space="preserve"> </w:t>
      </w:r>
      <w:r>
        <w:rPr>
          <w:rFonts w:hint="eastAsia" w:ascii="仿宋" w:hAnsi="仿宋" w:eastAsia="仿宋" w:cs="仿宋"/>
          <w:color w:val="auto"/>
          <w:sz w:val="32"/>
          <w:szCs w:val="32"/>
        </w:rPr>
        <w:t>类）404.74万元：主要用于：</w:t>
      </w:r>
      <w:r>
        <w:rPr>
          <w:rFonts w:hint="eastAsia" w:ascii="仿宋" w:hAnsi="仿宋" w:eastAsia="仿宋" w:cs="仿宋"/>
          <w:color w:val="auto"/>
          <w:sz w:val="32"/>
          <w:szCs w:val="32"/>
          <w:lang w:eastAsia="zh-CN"/>
        </w:rPr>
        <w:t>公用经费、项目经费的支出</w:t>
      </w:r>
      <w:r>
        <w:rPr>
          <w:rFonts w:hint="eastAsia" w:ascii="仿宋" w:hAnsi="仿宋" w:eastAsia="仿宋" w:cs="仿宋"/>
          <w:color w:val="auto"/>
          <w:sz w:val="32"/>
          <w:szCs w:val="32"/>
        </w:rPr>
        <w:t>。较2021年度决算数减少269.32万元，下降39.95%，主要原因是：</w:t>
      </w:r>
      <w:r>
        <w:rPr>
          <w:rFonts w:hint="eastAsia" w:ascii="仿宋" w:hAnsi="仿宋" w:eastAsia="仿宋" w:cs="仿宋"/>
          <w:color w:val="auto"/>
          <w:sz w:val="32"/>
          <w:szCs w:val="32"/>
          <w:lang w:eastAsia="zh-CN"/>
        </w:rPr>
        <w:t>单位机构改革，人员划转减少，年初公用经费、项目经费预算减少，故决算支出减少。</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5</w:t>
      </w:r>
      <w:r>
        <w:rPr>
          <w:rFonts w:ascii="仿宋" w:hAnsi="仿宋" w:eastAsia="仿宋" w:cs="仿宋"/>
          <w:color w:val="auto"/>
          <w:sz w:val="32"/>
        </w:rPr>
        <w:t>.</w:t>
      </w:r>
      <w:r>
        <w:rPr>
          <w:rFonts w:hint="eastAsia" w:ascii="仿宋" w:hAnsi="仿宋" w:eastAsia="仿宋" w:cs="仿宋"/>
          <w:color w:val="auto"/>
          <w:sz w:val="32"/>
          <w:szCs w:val="32"/>
        </w:rPr>
        <w:t>住房保障支出（221</w:t>
      </w:r>
      <w:r>
        <w:rPr>
          <w:rFonts w:ascii="Calibri" w:hAnsi="Calibri" w:eastAsia="宋体" w:cs="Times New Roman"/>
          <w:color w:val="auto"/>
        </w:rPr>
        <w:t xml:space="preserve"> </w:t>
      </w:r>
      <w:r>
        <w:rPr>
          <w:rFonts w:hint="eastAsia" w:ascii="仿宋" w:hAnsi="仿宋" w:eastAsia="仿宋" w:cs="仿宋"/>
          <w:color w:val="auto"/>
          <w:sz w:val="32"/>
          <w:szCs w:val="32"/>
        </w:rPr>
        <w:t>类）34.91万元：主要用于：</w:t>
      </w:r>
      <w:r>
        <w:rPr>
          <w:rFonts w:hint="eastAsia" w:ascii="仿宋_GB2312" w:hAnsi="仿宋_GB2312" w:eastAsia="仿宋_GB2312" w:cs="仿宋_GB2312"/>
          <w:color w:val="auto"/>
          <w:kern w:val="0"/>
          <w:sz w:val="32"/>
          <w:szCs w:val="32"/>
          <w:highlight w:val="none"/>
          <w:lang w:val="en-US" w:eastAsia="zh-CN"/>
        </w:rPr>
        <w:t>按照国家政策规定代职工缴纳的住房公积金</w:t>
      </w:r>
      <w:r>
        <w:rPr>
          <w:rFonts w:hint="eastAsia" w:ascii="仿宋" w:hAnsi="仿宋" w:eastAsia="仿宋" w:cs="仿宋"/>
          <w:color w:val="auto"/>
          <w:sz w:val="32"/>
          <w:szCs w:val="32"/>
        </w:rPr>
        <w:t>。较2021年度决算数减少14.61万元，下降29.50%，主要原因是：</w:t>
      </w:r>
      <w:r>
        <w:rPr>
          <w:rFonts w:hint="eastAsia" w:ascii="仿宋" w:hAnsi="仿宋" w:eastAsia="仿宋" w:cs="仿宋"/>
          <w:color w:val="auto"/>
          <w:sz w:val="32"/>
          <w:szCs w:val="32"/>
          <w:lang w:eastAsia="zh-CN"/>
        </w:rPr>
        <w:t>单位机构改革，人员划转减少，年初住房保障经费预算减少，故决算支出减少。</w:t>
      </w:r>
    </w:p>
    <w:p>
      <w:pPr>
        <w:ind w:firstLine="620" w:firstLineChars="200"/>
        <w:jc w:val="left"/>
        <w:rPr>
          <w:rFonts w:ascii="仿宋" w:hAnsi="仿宋" w:eastAsia="仿宋_GB2312" w:cs="仿宋"/>
          <w:color w:val="auto"/>
          <w:sz w:val="32"/>
          <w:szCs w:val="32"/>
        </w:rPr>
      </w:pPr>
      <w:r>
        <w:rPr>
          <w:rFonts w:ascii="仿宋_GB2312" w:hAnsi="微软雅黑" w:eastAsia="仿宋_GB2312" w:cs="仿宋_GB2312"/>
          <w:color w:val="auto"/>
          <w:sz w:val="31"/>
          <w:szCs w:val="31"/>
          <w:shd w:val="clear" w:color="auto" w:fill="FFFFFF"/>
        </w:rPr>
        <w:t>结余分配</w:t>
      </w:r>
      <w:r>
        <w:rPr>
          <w:rFonts w:hint="eastAsia" w:ascii="仿宋_GB2312" w:hAnsi="微软雅黑" w:eastAsia="仿宋_GB2312" w:cs="仿宋_GB2312"/>
          <w:color w:val="auto"/>
          <w:sz w:val="31"/>
          <w:szCs w:val="31"/>
          <w:shd w:val="clear" w:color="auto" w:fill="FFFFFF"/>
        </w:rPr>
        <w:t>0.00</w:t>
      </w:r>
      <w:r>
        <w:rPr>
          <w:rFonts w:ascii="仿宋_GB2312" w:hAnsi="微软雅黑" w:eastAsia="仿宋_GB2312" w:cs="仿宋_GB2312"/>
          <w:color w:val="auto"/>
          <w:sz w:val="31"/>
          <w:szCs w:val="31"/>
          <w:shd w:val="clear" w:color="auto" w:fill="FFFFFF"/>
        </w:rPr>
        <w:t>万元，为事业单位按规定提取的专用结余、缴纳所得税和转入非财政拨款结余等。较202</w:t>
      </w:r>
      <w:r>
        <w:rPr>
          <w:rFonts w:hint="eastAsia" w:ascii="仿宋_GB2312" w:hAnsi="微软雅黑" w:eastAsia="仿宋_GB2312" w:cs="仿宋_GB2312"/>
          <w:color w:val="auto"/>
          <w:sz w:val="31"/>
          <w:szCs w:val="31"/>
          <w:shd w:val="clear" w:color="auto" w:fill="FFFFFF"/>
        </w:rPr>
        <w:t>1</w:t>
      </w:r>
      <w:r>
        <w:rPr>
          <w:rFonts w:ascii="仿宋_GB2312" w:hAnsi="微软雅黑" w:eastAsia="仿宋_GB2312" w:cs="仿宋_GB2312"/>
          <w:color w:val="auto"/>
          <w:sz w:val="31"/>
          <w:szCs w:val="31"/>
          <w:shd w:val="clear" w:color="auto" w:fill="FFFFFF"/>
        </w:rPr>
        <w:t>年决算</w:t>
      </w:r>
      <w:r>
        <w:rPr>
          <w:rFonts w:hint="eastAsia" w:ascii="仿宋_GB2312" w:hAnsi="微软雅黑" w:eastAsia="仿宋_GB2312" w:cs="仿宋_GB2312"/>
          <w:color w:val="auto"/>
          <w:sz w:val="31"/>
          <w:szCs w:val="31"/>
          <w:shd w:val="clear" w:color="auto" w:fill="FFFFFF"/>
        </w:rPr>
        <w:t>0.00</w:t>
      </w:r>
      <w:r>
        <w:rPr>
          <w:rFonts w:ascii="仿宋_GB2312" w:hAnsi="微软雅黑" w:eastAsia="仿宋_GB2312" w:cs="仿宋_GB2312"/>
          <w:color w:val="auto"/>
          <w:sz w:val="31"/>
          <w:szCs w:val="31"/>
          <w:shd w:val="clear" w:color="auto" w:fill="FFFFFF"/>
        </w:rPr>
        <w:t>万元</w:t>
      </w:r>
      <w:r>
        <w:rPr>
          <w:rFonts w:hint="eastAsia" w:ascii="仿宋_GB2312" w:hAnsi="微软雅黑" w:eastAsia="仿宋_GB2312" w:cs="仿宋_GB2312"/>
          <w:color w:val="auto"/>
          <w:sz w:val="31"/>
          <w:szCs w:val="31"/>
          <w:shd w:val="clear" w:color="auto" w:fill="FFFFFF"/>
        </w:rPr>
        <w:t>,增加0.00</w:t>
      </w:r>
      <w:r>
        <w:rPr>
          <w:rFonts w:ascii="仿宋_GB2312" w:hAnsi="微软雅黑" w:eastAsia="仿宋_GB2312" w:cs="仿宋_GB2312"/>
          <w:color w:val="auto"/>
          <w:sz w:val="31"/>
          <w:szCs w:val="31"/>
          <w:shd w:val="clear" w:color="auto" w:fill="FFFFFF"/>
        </w:rPr>
        <w:t>万元，</w:t>
      </w:r>
      <w:r>
        <w:rPr>
          <w:rFonts w:hint="eastAsia" w:ascii="仿宋_GB2312" w:hAnsi="微软雅黑" w:eastAsia="仿宋_GB2312" w:cs="仿宋_GB2312"/>
          <w:color w:val="auto"/>
          <w:sz w:val="31"/>
          <w:szCs w:val="31"/>
          <w:shd w:val="clear" w:color="auto" w:fill="FFFFFF"/>
        </w:rPr>
        <w:t>增长0%</w:t>
      </w:r>
      <w:r>
        <w:rPr>
          <w:rFonts w:ascii="仿宋_GB2312" w:hAnsi="微软雅黑" w:eastAsia="仿宋_GB2312" w:cs="仿宋_GB2312"/>
          <w:color w:val="auto"/>
          <w:sz w:val="31"/>
          <w:szCs w:val="31"/>
          <w:shd w:val="clear" w:color="auto" w:fill="FFFFFF"/>
        </w:rPr>
        <w:t>，主要原因是</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本单位无结余分配</w:t>
      </w:r>
      <w:r>
        <w:rPr>
          <w:rFonts w:hint="eastAsia" w:ascii="仿宋" w:hAnsi="仿宋" w:eastAsia="仿宋" w:cs="仿宋"/>
          <w:color w:val="auto"/>
          <w:sz w:val="32"/>
          <w:szCs w:val="32"/>
        </w:rPr>
        <w:t>。</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年末结转和结余</w:t>
      </w:r>
      <w:r>
        <w:rPr>
          <w:rFonts w:ascii="仿宋" w:hAnsi="仿宋" w:eastAsia="仿宋" w:cs="仿宋"/>
          <w:color w:val="auto"/>
          <w:sz w:val="32"/>
        </w:rPr>
        <w:t>2.17</w:t>
      </w:r>
      <w:r>
        <w:rPr>
          <w:rFonts w:hint="eastAsia" w:ascii="仿宋" w:hAnsi="仿宋" w:eastAsia="仿宋" w:cs="仿宋"/>
          <w:color w:val="auto"/>
          <w:sz w:val="32"/>
          <w:szCs w:val="32"/>
        </w:rPr>
        <w:t>万元，为本年度或以前年度预算安排、因客观条件发生变化无法按原计划实施，需要延迟到以后年度按有关规定继续使用的资金。较2021年度决算数</w:t>
      </w:r>
      <w:r>
        <w:rPr>
          <w:rFonts w:ascii="仿宋" w:hAnsi="仿宋" w:eastAsia="仿宋" w:cs="仿宋"/>
          <w:color w:val="auto"/>
          <w:sz w:val="32"/>
        </w:rPr>
        <w:t>增加2.17</w:t>
      </w:r>
      <w:r>
        <w:rPr>
          <w:rFonts w:hint="eastAsia" w:ascii="仿宋" w:hAnsi="仿宋" w:eastAsia="仿宋" w:cs="仿宋"/>
          <w:color w:val="auto"/>
          <w:sz w:val="32"/>
          <w:szCs w:val="32"/>
        </w:rPr>
        <w:t>万元，</w:t>
      </w:r>
      <w:r>
        <w:rPr>
          <w:rFonts w:ascii="仿宋" w:hAnsi="仿宋" w:eastAsia="仿宋" w:cs="仿宋"/>
          <w:color w:val="auto"/>
          <w:sz w:val="32"/>
        </w:rPr>
        <w:t>增长100%</w:t>
      </w:r>
      <w:r>
        <w:rPr>
          <w:rFonts w:hint="eastAsia" w:ascii="仿宋" w:hAnsi="仿宋" w:eastAsia="仿宋" w:cs="仿宋"/>
          <w:color w:val="auto"/>
          <w:sz w:val="32"/>
          <w:szCs w:val="32"/>
        </w:rPr>
        <w:t>，</w:t>
      </w:r>
      <w:r>
        <w:rPr>
          <w:rFonts w:hint="eastAsia" w:ascii="仿宋" w:hAnsi="仿宋" w:eastAsia="仿宋" w:cs="仿宋"/>
          <w:b w:val="0"/>
          <w:bCs w:val="0"/>
          <w:color w:val="auto"/>
          <w:sz w:val="32"/>
          <w:szCs w:val="32"/>
        </w:rPr>
        <w:t>主要原因是：</w:t>
      </w:r>
      <w:r>
        <w:rPr>
          <w:rFonts w:hint="eastAsia" w:ascii="仿宋_GB2312" w:hAnsi="仿宋_GB2312" w:eastAsia="仿宋_GB2312" w:cs="仿宋_GB2312"/>
          <w:b w:val="0"/>
          <w:bCs w:val="0"/>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lang w:val="en-US" w:eastAsia="zh-CN"/>
        </w:rPr>
        <w:t>年度单位业务工作开展需要</w:t>
      </w:r>
      <w:r>
        <w:rPr>
          <w:rFonts w:hint="eastAsia" w:ascii="仿宋" w:hAnsi="仿宋" w:eastAsia="仿宋" w:cs="仿宋"/>
          <w:color w:val="auto"/>
          <w:sz w:val="32"/>
          <w:szCs w:val="32"/>
        </w:rPr>
        <w:t>。</w:t>
      </w:r>
    </w:p>
    <w:p>
      <w:pPr>
        <w:ind w:firstLine="640" w:firstLineChars="200"/>
        <w:jc w:val="center"/>
        <w:rPr>
          <w:rFonts w:ascii="仿宋" w:hAnsi="仿宋" w:eastAsia="仿宋" w:cs="仿宋"/>
          <w:color w:val="auto"/>
          <w:sz w:val="32"/>
          <w:szCs w:val="32"/>
        </w:rPr>
      </w:pPr>
      <w:r>
        <w:rPr>
          <w:rFonts w:hint="eastAsia" w:ascii="仿宋" w:hAnsi="仿宋" w:eastAsia="仿宋" w:cs="仿宋"/>
          <w:color w:val="auto"/>
          <w:sz w:val="32"/>
          <w:szCs w:val="32"/>
        </w:rPr>
        <w:drawing>
          <wp:inline distT="0" distB="0" distL="114300" distR="114300">
            <wp:extent cx="5080000" cy="3022600"/>
            <wp:effectExtent l="4445" t="4445" r="5715" b="571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left"/>
        <w:rPr>
          <w:rFonts w:ascii="黑体" w:hAnsi="黑体" w:eastAsia="黑体" w:cs="黑体"/>
          <w:color w:val="auto"/>
          <w:sz w:val="32"/>
          <w:szCs w:val="32"/>
        </w:rPr>
      </w:pPr>
      <w:r>
        <w:rPr>
          <w:rFonts w:hint="eastAsia" w:ascii="黑体" w:hAnsi="黑体" w:eastAsia="黑体" w:cs="黑体"/>
          <w:color w:val="auto"/>
          <w:sz w:val="32"/>
          <w:szCs w:val="32"/>
        </w:rPr>
        <w:t>二、2022年度</w:t>
      </w:r>
      <w:bookmarkStart w:id="2" w:name="OLE_LINK1"/>
      <w:r>
        <w:rPr>
          <w:rFonts w:hint="eastAsia" w:ascii="黑体" w:hAnsi="黑体" w:eastAsia="黑体" w:cs="黑体"/>
          <w:color w:val="auto"/>
          <w:sz w:val="32"/>
          <w:szCs w:val="32"/>
        </w:rPr>
        <w:t>一般公共预算财政拨款支出决算情况</w:t>
      </w:r>
      <w:bookmarkEnd w:id="2"/>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河池市农业机械化服务中心2022年度一般公共预算财政拨款支出</w:t>
      </w:r>
      <w:r>
        <w:rPr>
          <w:rFonts w:ascii="仿宋" w:hAnsi="仿宋" w:eastAsia="仿宋" w:cs="仿宋"/>
          <w:color w:val="auto"/>
          <w:sz w:val="32"/>
        </w:rPr>
        <w:t>532.48</w:t>
      </w:r>
      <w:r>
        <w:rPr>
          <w:rFonts w:hint="eastAsia" w:ascii="仿宋" w:hAnsi="仿宋" w:eastAsia="仿宋" w:cs="仿宋"/>
          <w:color w:val="auto"/>
          <w:sz w:val="32"/>
          <w:szCs w:val="32"/>
        </w:rPr>
        <w:t>万元，较2021年度决算数</w:t>
      </w:r>
      <w:r>
        <w:rPr>
          <w:rFonts w:ascii="仿宋" w:hAnsi="仿宋" w:eastAsia="仿宋" w:cs="仿宋"/>
          <w:color w:val="auto"/>
          <w:sz w:val="32"/>
        </w:rPr>
        <w:t>减少330.24</w:t>
      </w:r>
      <w:r>
        <w:rPr>
          <w:rFonts w:hint="eastAsia" w:ascii="仿宋" w:hAnsi="仿宋" w:eastAsia="仿宋" w:cs="仿宋"/>
          <w:color w:val="auto"/>
          <w:sz w:val="32"/>
          <w:szCs w:val="32"/>
        </w:rPr>
        <w:t>万元，</w:t>
      </w:r>
      <w:r>
        <w:rPr>
          <w:rFonts w:ascii="仿宋" w:hAnsi="仿宋" w:eastAsia="仿宋" w:cs="仿宋"/>
          <w:color w:val="auto"/>
          <w:sz w:val="32"/>
        </w:rPr>
        <w:t>下降38.28%</w:t>
      </w:r>
      <w:r>
        <w:rPr>
          <w:rFonts w:hint="eastAsia" w:ascii="仿宋" w:hAnsi="仿宋" w:eastAsia="仿宋" w:cs="仿宋"/>
          <w:color w:val="auto"/>
          <w:sz w:val="32"/>
          <w:szCs w:val="32"/>
        </w:rPr>
        <w:t>。其中：基本支出</w:t>
      </w:r>
      <w:r>
        <w:rPr>
          <w:rFonts w:ascii="仿宋" w:hAnsi="仿宋" w:eastAsia="仿宋" w:cs="仿宋"/>
          <w:color w:val="auto"/>
          <w:sz w:val="32"/>
        </w:rPr>
        <w:t>493.79</w:t>
      </w:r>
      <w:r>
        <w:rPr>
          <w:rFonts w:hint="eastAsia" w:ascii="仿宋" w:hAnsi="仿宋" w:eastAsia="仿宋" w:cs="仿宋"/>
          <w:color w:val="auto"/>
          <w:sz w:val="32"/>
          <w:szCs w:val="32"/>
        </w:rPr>
        <w:t>万元，项目支出</w:t>
      </w:r>
      <w:r>
        <w:rPr>
          <w:rFonts w:ascii="仿宋" w:hAnsi="仿宋" w:eastAsia="仿宋" w:cs="仿宋"/>
          <w:color w:val="auto"/>
          <w:sz w:val="32"/>
        </w:rPr>
        <w:t>38.69</w:t>
      </w:r>
      <w:r>
        <w:rPr>
          <w:rFonts w:hint="eastAsia" w:ascii="仿宋" w:hAnsi="仿宋" w:eastAsia="仿宋" w:cs="仿宋"/>
          <w:color w:val="auto"/>
          <w:sz w:val="32"/>
          <w:szCs w:val="32"/>
        </w:rPr>
        <w:t>万元。</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河池市农业机械化服务中心2022 年度一般公共预算财政拨款支出年初预算为</w:t>
      </w:r>
      <w:r>
        <w:rPr>
          <w:rFonts w:ascii="仿宋" w:hAnsi="仿宋" w:eastAsia="仿宋" w:cs="仿宋"/>
          <w:color w:val="auto"/>
          <w:sz w:val="32"/>
        </w:rPr>
        <w:t>655.42</w:t>
      </w:r>
      <w:r>
        <w:rPr>
          <w:rFonts w:hint="eastAsia" w:ascii="仿宋" w:hAnsi="仿宋" w:eastAsia="仿宋" w:cs="仿宋"/>
          <w:color w:val="auto"/>
          <w:sz w:val="32"/>
          <w:szCs w:val="32"/>
        </w:rPr>
        <w:t>万元，支出决算为</w:t>
      </w:r>
      <w:r>
        <w:rPr>
          <w:rFonts w:ascii="仿宋" w:hAnsi="仿宋" w:eastAsia="仿宋" w:cs="仿宋"/>
          <w:color w:val="auto"/>
          <w:sz w:val="32"/>
        </w:rPr>
        <w:t>532.48</w:t>
      </w:r>
      <w:r>
        <w:rPr>
          <w:rFonts w:hint="eastAsia" w:ascii="仿宋" w:hAnsi="仿宋" w:eastAsia="仿宋" w:cs="仿宋"/>
          <w:color w:val="auto"/>
          <w:sz w:val="32"/>
          <w:szCs w:val="32"/>
        </w:rPr>
        <w:t>万元，完成年初预算的</w:t>
      </w:r>
      <w:r>
        <w:rPr>
          <w:rFonts w:ascii="仿宋" w:hAnsi="仿宋" w:eastAsia="仿宋" w:cs="仿宋"/>
          <w:color w:val="auto"/>
          <w:sz w:val="32"/>
        </w:rPr>
        <w:t>81.24%</w:t>
      </w:r>
      <w:r>
        <w:rPr>
          <w:rFonts w:hint="eastAsia" w:ascii="仿宋" w:hAnsi="仿宋" w:eastAsia="仿宋" w:cs="仿宋"/>
          <w:color w:val="auto"/>
          <w:sz w:val="32"/>
          <w:szCs w:val="32"/>
        </w:rPr>
        <w:t>。</w:t>
      </w:r>
    </w:p>
    <w:p>
      <w:pPr>
        <w:jc w:val="left"/>
        <w:rPr>
          <w:rFonts w:ascii="仿宋" w:hAnsi="仿宋" w:eastAsia="仿宋"/>
          <w:color w:val="auto"/>
          <w:sz w:val="32"/>
          <w:szCs w:val="32"/>
        </w:rPr>
      </w:pPr>
      <w:bookmarkStart w:id="3" w:name="OLE_LINK2"/>
      <w:bookmarkEnd w:id="3"/>
      <w:r>
        <w:rPr>
          <w:rFonts w:hint="eastAsia" w:ascii="仿宋" w:hAnsi="仿宋" w:eastAsia="仿宋"/>
          <w:color w:val="auto"/>
          <w:sz w:val="32"/>
          <w:szCs w:val="32"/>
        </w:rPr>
        <w:t xml:space="preserve"> </w:t>
      </w:r>
    </w:p>
    <w:p>
      <w:pPr>
        <w:numPr>
          <w:ilvl w:val="0"/>
          <w:numId w:val="1"/>
        </w:numPr>
        <w:jc w:val="left"/>
        <w:rPr>
          <w:rFonts w:eastAsia="仿宋"/>
          <w:color w:val="auto"/>
        </w:rPr>
      </w:pPr>
      <w:r>
        <w:rPr>
          <w:rFonts w:hint="eastAsia" w:ascii="仿宋" w:hAnsi="仿宋" w:eastAsia="仿宋"/>
          <w:color w:val="auto"/>
          <w:sz w:val="32"/>
          <w:szCs w:val="32"/>
        </w:rPr>
        <w:t>教育支出</w:t>
      </w:r>
      <w:r>
        <w:rPr>
          <w:rFonts w:ascii="仿宋" w:hAnsi="仿宋" w:eastAsia="仿宋"/>
          <w:color w:val="auto"/>
          <w:sz w:val="32"/>
        </w:rPr>
        <w:t>（205</w:t>
      </w:r>
      <w:r>
        <w:rPr>
          <w:rFonts w:hint="eastAsia" w:ascii="仿宋" w:hAnsi="仿宋" w:eastAsia="仿宋"/>
          <w:color w:val="auto"/>
          <w:sz w:val="32"/>
          <w:szCs w:val="32"/>
        </w:rPr>
        <w:t>类）</w:t>
      </w:r>
      <w:r>
        <w:rPr>
          <w:rFonts w:hint="eastAsia" w:ascii="仿宋" w:hAnsi="仿宋" w:eastAsia="仿宋"/>
          <w:color w:val="auto"/>
          <w:sz w:val="32"/>
          <w:szCs w:val="32"/>
          <w:lang w:eastAsia="zh-CN"/>
        </w:rPr>
        <w:t>。</w:t>
      </w:r>
      <w:r>
        <w:rPr>
          <w:rFonts w:hint="eastAsia" w:ascii="仿宋" w:hAnsi="仿宋" w:eastAsia="仿宋"/>
          <w:color w:val="auto"/>
          <w:sz w:val="32"/>
          <w:szCs w:val="32"/>
        </w:rPr>
        <w:t>年初预算为</w:t>
      </w:r>
      <w:r>
        <w:rPr>
          <w:rFonts w:ascii="仿宋" w:hAnsi="仿宋" w:eastAsia="仿宋"/>
          <w:color w:val="auto"/>
          <w:sz w:val="32"/>
          <w:szCs w:val="32"/>
        </w:rPr>
        <w:t>5.10</w:t>
      </w:r>
      <w:r>
        <w:rPr>
          <w:rFonts w:hint="eastAsia" w:ascii="仿宋" w:hAnsi="仿宋" w:eastAsia="仿宋"/>
          <w:color w:val="auto"/>
          <w:sz w:val="32"/>
          <w:szCs w:val="32"/>
        </w:rPr>
        <w:t>万元，支出决算为</w:t>
      </w:r>
      <w:r>
        <w:rPr>
          <w:rFonts w:ascii="仿宋" w:hAnsi="仿宋" w:eastAsia="仿宋"/>
          <w:color w:val="auto"/>
          <w:sz w:val="32"/>
          <w:szCs w:val="32"/>
        </w:rPr>
        <w:t>2.50</w:t>
      </w:r>
      <w:r>
        <w:rPr>
          <w:rFonts w:hint="eastAsia" w:ascii="仿宋" w:hAnsi="仿宋" w:eastAsia="仿宋"/>
          <w:color w:val="auto"/>
          <w:sz w:val="32"/>
          <w:szCs w:val="32"/>
        </w:rPr>
        <w:t>万元，完成年初预算的</w:t>
      </w:r>
      <w:r>
        <w:rPr>
          <w:rFonts w:ascii="仿宋" w:hAnsi="仿宋" w:eastAsia="仿宋"/>
          <w:color w:val="auto"/>
          <w:sz w:val="32"/>
          <w:szCs w:val="32"/>
        </w:rPr>
        <w:t>49.02%</w:t>
      </w:r>
      <w:r>
        <w:rPr>
          <w:rFonts w:hint="eastAsia" w:ascii="仿宋" w:hAnsi="仿宋" w:eastAsia="仿宋"/>
          <w:color w:val="auto"/>
          <w:sz w:val="32"/>
          <w:szCs w:val="32"/>
        </w:rPr>
        <w:t>。预决算存有差异原因是：</w:t>
      </w:r>
      <w:r>
        <w:rPr>
          <w:rFonts w:hint="eastAsia" w:ascii="仿宋" w:hAnsi="仿宋" w:eastAsia="仿宋"/>
          <w:color w:val="auto"/>
          <w:sz w:val="32"/>
          <w:szCs w:val="32"/>
          <w:lang w:val="en-US" w:eastAsia="zh-CN"/>
        </w:rPr>
        <w:t>2022年市本级</w:t>
      </w:r>
      <w:r>
        <w:rPr>
          <w:rFonts w:hint="eastAsia" w:ascii="仿宋" w:hAnsi="仿宋" w:eastAsia="仿宋" w:cs="仿宋"/>
          <w:color w:val="auto"/>
          <w:sz w:val="32"/>
          <w:szCs w:val="32"/>
          <w:lang w:eastAsia="zh-CN"/>
        </w:rPr>
        <w:t>财政，实际按照预算单位预算培训经费的</w:t>
      </w:r>
      <w:r>
        <w:rPr>
          <w:rFonts w:hint="eastAsia" w:ascii="仿宋" w:hAnsi="仿宋" w:eastAsia="仿宋" w:cs="仿宋"/>
          <w:color w:val="auto"/>
          <w:sz w:val="32"/>
          <w:szCs w:val="32"/>
          <w:lang w:val="en-US" w:eastAsia="zh-CN"/>
        </w:rPr>
        <w:t>50%下拨到预算单位使用</w:t>
      </w:r>
      <w:r>
        <w:rPr>
          <w:rFonts w:hint="eastAsia" w:ascii="仿宋" w:hAnsi="仿宋" w:eastAsia="仿宋" w:cs="仿宋"/>
          <w:color w:val="auto"/>
          <w:sz w:val="32"/>
          <w:szCs w:val="32"/>
        </w:rPr>
        <w:t>。</w:t>
      </w:r>
    </w:p>
    <w:p>
      <w:pPr>
        <w:jc w:val="left"/>
        <w:rPr>
          <w:rFonts w:ascii="仿宋" w:hAnsi="仿宋" w:eastAsia="仿宋"/>
          <w:color w:val="auto"/>
          <w:sz w:val="32"/>
          <w:szCs w:val="32"/>
        </w:rPr>
      </w:pPr>
      <w:r>
        <w:rPr>
          <w:rFonts w:hint="eastAsia" w:ascii="仿宋" w:hAnsi="仿宋" w:eastAsia="仿宋"/>
          <w:color w:val="auto"/>
          <w:sz w:val="32"/>
          <w:szCs w:val="32"/>
        </w:rPr>
        <w:t>支出具体情况如下：</w:t>
      </w:r>
    </w:p>
    <w:tbl>
      <w:tblPr>
        <w:tblStyle w:val="6"/>
        <w:tblW w:w="8536" w:type="dxa"/>
        <w:tblInd w:w="96" w:type="dxa"/>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原因</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2050803</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培训支出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5.10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2.50</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49.02%</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18"/>
                <w:szCs w:val="18"/>
                <w:lang w:eastAsia="zh-CN"/>
              </w:rPr>
            </w:pPr>
            <w:r>
              <w:rPr>
                <w:rFonts w:hint="eastAsia" w:ascii="仿宋" w:hAnsi="仿宋" w:eastAsia="仿宋" w:cs="仿宋"/>
                <w:color w:val="auto"/>
                <w:szCs w:val="21"/>
                <w:lang w:eastAsia="zh-CN"/>
              </w:rPr>
              <w:t>主要用于干部职工教育培训</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18"/>
                <w:szCs w:val="18"/>
                <w:lang w:val="en-US" w:eastAsia="zh-CN"/>
              </w:rPr>
            </w:pPr>
            <w:r>
              <w:rPr>
                <w:rFonts w:hint="eastAsia" w:ascii="仿宋" w:hAnsi="仿宋" w:eastAsia="仿宋" w:cs="仿宋"/>
                <w:color w:val="auto"/>
                <w:sz w:val="18"/>
                <w:szCs w:val="18"/>
                <w:lang w:eastAsia="zh-CN"/>
              </w:rPr>
              <w:t>本级财政实际按照预算单位预算培训经费的</w:t>
            </w:r>
            <w:r>
              <w:rPr>
                <w:rFonts w:hint="eastAsia" w:ascii="仿宋" w:hAnsi="仿宋" w:eastAsia="仿宋" w:cs="仿宋"/>
                <w:color w:val="auto"/>
                <w:sz w:val="18"/>
                <w:szCs w:val="18"/>
                <w:lang w:val="en-US" w:eastAsia="zh-CN"/>
              </w:rPr>
              <w:t>50%下拨到预算单位使用</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5.10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2.50</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18"/>
                <w:szCs w:val="18"/>
              </w:rPr>
            </w:pPr>
            <w:r>
              <w:rPr>
                <w:rFonts w:hint="eastAsia" w:ascii="仿宋" w:hAnsi="仿宋" w:eastAsia="仿宋" w:cs="仿宋"/>
                <w:color w:val="auto"/>
                <w:szCs w:val="21"/>
                <w:lang w:eastAsia="zh-CN"/>
              </w:rPr>
              <w:t>主要用于干部职工教育培训</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18"/>
                <w:szCs w:val="18"/>
              </w:rPr>
            </w:pPr>
            <w:r>
              <w:rPr>
                <w:rFonts w:hint="eastAsia" w:ascii="仿宋" w:hAnsi="仿宋" w:eastAsia="仿宋" w:cs="仿宋"/>
                <w:color w:val="auto"/>
                <w:sz w:val="18"/>
                <w:szCs w:val="18"/>
                <w:lang w:eastAsia="zh-CN"/>
              </w:rPr>
              <w:t>本级财政实际按照预算单位预算培训经费的</w:t>
            </w:r>
            <w:r>
              <w:rPr>
                <w:rFonts w:hint="eastAsia" w:ascii="仿宋" w:hAnsi="仿宋" w:eastAsia="仿宋" w:cs="仿宋"/>
                <w:color w:val="auto"/>
                <w:sz w:val="18"/>
                <w:szCs w:val="18"/>
                <w:lang w:val="en-US" w:eastAsia="zh-CN"/>
              </w:rPr>
              <w:t>50%下拨到预算单位使用</w:t>
            </w:r>
          </w:p>
        </w:tc>
      </w:tr>
    </w:tbl>
    <w:p>
      <w:pPr>
        <w:jc w:val="left"/>
        <w:rPr>
          <w:rFonts w:ascii="仿宋" w:hAnsi="仿宋" w:eastAsia="仿宋"/>
          <w:color w:val="auto"/>
          <w:sz w:val="32"/>
          <w:szCs w:val="32"/>
        </w:rPr>
      </w:pPr>
    </w:p>
    <w:p>
      <w:pPr>
        <w:jc w:val="center"/>
        <w:rPr>
          <w:rFonts w:ascii="仿宋" w:hAnsi="仿宋" w:eastAsia="仿宋"/>
          <w:color w:val="auto"/>
          <w:sz w:val="32"/>
          <w:szCs w:val="32"/>
        </w:rPr>
      </w:pPr>
      <w:r>
        <w:rPr>
          <w:rFonts w:hint="eastAsia" w:ascii="仿宋" w:hAnsi="仿宋" w:eastAsia="仿宋" w:cs="仿宋"/>
          <w:color w:val="auto"/>
          <w:sz w:val="32"/>
          <w:szCs w:val="32"/>
        </w:rPr>
        <w:drawing>
          <wp:inline distT="0" distB="0" distL="114300" distR="114300">
            <wp:extent cx="4474845" cy="3215640"/>
            <wp:effectExtent l="4445" t="4445" r="16510" b="5715"/>
            <wp:docPr id="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1"/>
        </w:numPr>
        <w:jc w:val="left"/>
        <w:rPr>
          <w:rFonts w:eastAsia="仿宋"/>
          <w:color w:val="auto"/>
        </w:rPr>
      </w:pPr>
      <w:r>
        <w:rPr>
          <w:rFonts w:hint="eastAsia" w:ascii="仿宋" w:hAnsi="仿宋" w:eastAsia="仿宋"/>
          <w:color w:val="auto"/>
          <w:sz w:val="32"/>
          <w:szCs w:val="32"/>
        </w:rPr>
        <w:t>社会保障和就业支出</w:t>
      </w:r>
      <w:r>
        <w:rPr>
          <w:rFonts w:ascii="仿宋" w:hAnsi="仿宋" w:eastAsia="仿宋"/>
          <w:color w:val="auto"/>
          <w:sz w:val="32"/>
        </w:rPr>
        <w:t>（208</w:t>
      </w:r>
      <w:r>
        <w:rPr>
          <w:rFonts w:hint="eastAsia" w:ascii="仿宋" w:hAnsi="仿宋" w:eastAsia="仿宋"/>
          <w:color w:val="auto"/>
          <w:sz w:val="32"/>
          <w:szCs w:val="32"/>
        </w:rPr>
        <w:t>类）</w:t>
      </w:r>
      <w:r>
        <w:rPr>
          <w:rFonts w:hint="eastAsia" w:ascii="仿宋" w:hAnsi="仿宋" w:eastAsia="仿宋"/>
          <w:color w:val="auto"/>
          <w:sz w:val="32"/>
          <w:szCs w:val="32"/>
          <w:lang w:eastAsia="zh-CN"/>
        </w:rPr>
        <w:t>。</w:t>
      </w:r>
      <w:r>
        <w:rPr>
          <w:rFonts w:hint="eastAsia" w:ascii="仿宋" w:hAnsi="仿宋" w:eastAsia="仿宋"/>
          <w:color w:val="auto"/>
          <w:sz w:val="32"/>
          <w:szCs w:val="32"/>
        </w:rPr>
        <w:t>年初预算为</w:t>
      </w:r>
      <w:r>
        <w:rPr>
          <w:rFonts w:ascii="仿宋" w:hAnsi="仿宋" w:eastAsia="仿宋"/>
          <w:color w:val="auto"/>
          <w:sz w:val="32"/>
          <w:szCs w:val="32"/>
        </w:rPr>
        <w:t>55.78</w:t>
      </w:r>
      <w:r>
        <w:rPr>
          <w:rFonts w:hint="eastAsia" w:ascii="仿宋" w:hAnsi="仿宋" w:eastAsia="仿宋"/>
          <w:color w:val="auto"/>
          <w:sz w:val="32"/>
          <w:szCs w:val="32"/>
        </w:rPr>
        <w:t>万元，支出决算为</w:t>
      </w:r>
      <w:r>
        <w:rPr>
          <w:rFonts w:ascii="仿宋" w:hAnsi="仿宋" w:eastAsia="仿宋"/>
          <w:color w:val="auto"/>
          <w:sz w:val="32"/>
          <w:szCs w:val="32"/>
        </w:rPr>
        <w:t>47.92</w:t>
      </w:r>
      <w:r>
        <w:rPr>
          <w:rFonts w:hint="eastAsia" w:ascii="仿宋" w:hAnsi="仿宋" w:eastAsia="仿宋"/>
          <w:color w:val="auto"/>
          <w:sz w:val="32"/>
          <w:szCs w:val="32"/>
        </w:rPr>
        <w:t>万元，完成年初预算的</w:t>
      </w:r>
      <w:r>
        <w:rPr>
          <w:rFonts w:ascii="仿宋" w:hAnsi="仿宋" w:eastAsia="仿宋"/>
          <w:color w:val="auto"/>
          <w:sz w:val="32"/>
          <w:szCs w:val="32"/>
        </w:rPr>
        <w:t>85.91%</w:t>
      </w:r>
      <w:r>
        <w:rPr>
          <w:rFonts w:hint="eastAsia" w:ascii="仿宋" w:hAnsi="仿宋" w:eastAsia="仿宋"/>
          <w:color w:val="auto"/>
          <w:sz w:val="32"/>
          <w:szCs w:val="32"/>
        </w:rPr>
        <w:t>。预决算存有差异原因是：</w:t>
      </w:r>
      <w:r>
        <w:rPr>
          <w:rFonts w:hint="eastAsia" w:ascii="仿宋" w:hAnsi="仿宋" w:eastAsia="仿宋"/>
          <w:color w:val="auto"/>
          <w:sz w:val="32"/>
          <w:szCs w:val="32"/>
          <w:lang w:val="en-US" w:eastAsia="zh-CN"/>
        </w:rPr>
        <w:t>2022年有</w:t>
      </w:r>
      <w:r>
        <w:rPr>
          <w:rFonts w:hint="eastAsia" w:ascii="仿宋" w:hAnsi="仿宋" w:eastAsia="仿宋" w:cs="仿宋"/>
          <w:color w:val="auto"/>
          <w:sz w:val="32"/>
          <w:szCs w:val="32"/>
          <w:lang w:eastAsia="zh-CN"/>
        </w:rPr>
        <w:t>在职人员工作调动减员、在职人员退休，故社会保障和就业支出减少（养老保险单位缴费部分）支出减少</w:t>
      </w:r>
      <w:r>
        <w:rPr>
          <w:rFonts w:hint="eastAsia" w:ascii="仿宋" w:hAnsi="仿宋" w:eastAsia="仿宋" w:cs="仿宋"/>
          <w:color w:val="auto"/>
          <w:sz w:val="32"/>
          <w:szCs w:val="32"/>
        </w:rPr>
        <w:t>。</w:t>
      </w:r>
    </w:p>
    <w:p>
      <w:pPr>
        <w:jc w:val="left"/>
        <w:rPr>
          <w:rFonts w:ascii="仿宋" w:hAnsi="仿宋" w:eastAsia="仿宋"/>
          <w:color w:val="auto"/>
          <w:sz w:val="32"/>
          <w:szCs w:val="32"/>
        </w:rPr>
      </w:pPr>
      <w:r>
        <w:rPr>
          <w:rFonts w:hint="eastAsia" w:ascii="仿宋" w:hAnsi="仿宋" w:eastAsia="仿宋"/>
          <w:color w:val="auto"/>
          <w:sz w:val="32"/>
          <w:szCs w:val="32"/>
        </w:rPr>
        <w:t>支出具体情况如下：</w:t>
      </w:r>
    </w:p>
    <w:tbl>
      <w:tblPr>
        <w:tblStyle w:val="6"/>
        <w:tblW w:w="8536" w:type="dxa"/>
        <w:tblInd w:w="96" w:type="dxa"/>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原因</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2080505</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机关事业单位基本养老保险缴费支出</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54.41</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46.55</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85.55%</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18"/>
                <w:szCs w:val="18"/>
                <w:lang w:eastAsia="zh-CN"/>
              </w:rPr>
            </w:pPr>
            <w:r>
              <w:rPr>
                <w:rFonts w:hint="eastAsia" w:ascii="仿宋" w:hAnsi="仿宋" w:eastAsia="仿宋" w:cs="仿宋"/>
                <w:color w:val="auto"/>
                <w:szCs w:val="21"/>
                <w:lang w:eastAsia="zh-CN"/>
              </w:rPr>
              <w:t>主要用于在职职工养老保险缴费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18"/>
                <w:szCs w:val="18"/>
                <w:lang w:val="en-US" w:eastAsia="zh-CN"/>
              </w:rPr>
            </w:pPr>
            <w:r>
              <w:rPr>
                <w:rFonts w:hint="eastAsia" w:ascii="仿宋" w:hAnsi="仿宋" w:eastAsia="仿宋" w:cs="仿宋"/>
                <w:color w:val="auto"/>
                <w:sz w:val="18"/>
                <w:szCs w:val="18"/>
                <w:lang w:val="en-US" w:eastAsia="zh-CN"/>
              </w:rPr>
              <w:t>2022年有在职人员工作调动减员、在职人员退休</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2080801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死亡抚恤</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1.37</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1.37</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100.00%</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18"/>
                <w:szCs w:val="18"/>
                <w:lang w:eastAsia="zh-CN"/>
              </w:rPr>
            </w:pPr>
            <w:r>
              <w:rPr>
                <w:rFonts w:hint="eastAsia" w:ascii="仿宋" w:hAnsi="仿宋" w:eastAsia="仿宋" w:cs="仿宋"/>
                <w:color w:val="auto"/>
                <w:szCs w:val="21"/>
                <w:lang w:eastAsia="zh-CN"/>
              </w:rPr>
              <w:t>主要用于遗属生活补助</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18"/>
                <w:szCs w:val="18"/>
                <w:lang w:eastAsia="zh-CN"/>
              </w:rPr>
            </w:pPr>
            <w:r>
              <w:rPr>
                <w:rFonts w:hint="eastAsia" w:ascii="仿宋" w:hAnsi="仿宋" w:eastAsia="仿宋" w:cs="仿宋"/>
                <w:color w:val="auto"/>
                <w:sz w:val="18"/>
                <w:szCs w:val="18"/>
                <w:lang w:eastAsia="zh-CN"/>
              </w:rPr>
              <w:t>无变化</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55.78</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47.92</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18"/>
                <w:szCs w:val="18"/>
                <w:lang w:eastAsia="zh-CN"/>
              </w:rPr>
            </w:pPr>
            <w:r>
              <w:rPr>
                <w:rFonts w:hint="eastAsia" w:ascii="仿宋" w:hAnsi="仿宋" w:eastAsia="仿宋" w:cs="仿宋"/>
                <w:color w:val="auto"/>
                <w:szCs w:val="21"/>
                <w:lang w:eastAsia="zh-CN"/>
              </w:rPr>
              <w:t>主要用于在职职工养老保险缴费、遗属生活补助</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18"/>
                <w:szCs w:val="18"/>
              </w:rPr>
            </w:pPr>
            <w:r>
              <w:rPr>
                <w:rFonts w:hint="eastAsia" w:ascii="仿宋" w:hAnsi="仿宋" w:eastAsia="仿宋" w:cs="仿宋"/>
                <w:color w:val="auto"/>
                <w:sz w:val="18"/>
                <w:szCs w:val="18"/>
                <w:lang w:val="en-US" w:eastAsia="zh-CN"/>
              </w:rPr>
              <w:t>2022年有在职人员退休、2022年有在职人员工作调动减员</w:t>
            </w:r>
          </w:p>
        </w:tc>
      </w:tr>
    </w:tbl>
    <w:p>
      <w:pPr>
        <w:jc w:val="left"/>
        <w:rPr>
          <w:rFonts w:ascii="仿宋" w:hAnsi="仿宋" w:eastAsia="仿宋"/>
          <w:color w:val="auto"/>
          <w:sz w:val="32"/>
          <w:szCs w:val="32"/>
        </w:rPr>
      </w:pPr>
    </w:p>
    <w:p>
      <w:pPr>
        <w:jc w:val="center"/>
        <w:rPr>
          <w:rFonts w:ascii="仿宋" w:hAnsi="仿宋" w:eastAsia="仿宋"/>
          <w:color w:val="auto"/>
          <w:sz w:val="32"/>
          <w:szCs w:val="32"/>
        </w:rPr>
      </w:pPr>
      <w:r>
        <w:rPr>
          <w:rFonts w:hint="eastAsia" w:ascii="仿宋" w:hAnsi="仿宋" w:eastAsia="仿宋" w:cs="仿宋"/>
          <w:color w:val="auto"/>
          <w:sz w:val="32"/>
          <w:szCs w:val="32"/>
        </w:rPr>
        <w:drawing>
          <wp:inline distT="0" distB="0" distL="114300" distR="114300">
            <wp:extent cx="4474845" cy="3215640"/>
            <wp:effectExtent l="4445" t="4445" r="16510" b="5715"/>
            <wp:docPr id="8"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numPr>
          <w:ilvl w:val="0"/>
          <w:numId w:val="1"/>
        </w:numPr>
        <w:jc w:val="left"/>
        <w:rPr>
          <w:rFonts w:eastAsia="仿宋"/>
          <w:color w:val="auto"/>
        </w:rPr>
      </w:pPr>
      <w:r>
        <w:rPr>
          <w:rFonts w:hint="eastAsia" w:ascii="仿宋" w:hAnsi="仿宋" w:eastAsia="仿宋"/>
          <w:color w:val="auto"/>
          <w:sz w:val="32"/>
          <w:szCs w:val="32"/>
        </w:rPr>
        <w:t>卫生健康支出</w:t>
      </w:r>
      <w:r>
        <w:rPr>
          <w:rFonts w:ascii="仿宋" w:hAnsi="仿宋" w:eastAsia="仿宋"/>
          <w:color w:val="auto"/>
          <w:sz w:val="32"/>
        </w:rPr>
        <w:t>（210</w:t>
      </w:r>
      <w:r>
        <w:rPr>
          <w:rFonts w:hint="eastAsia" w:ascii="仿宋" w:hAnsi="仿宋" w:eastAsia="仿宋"/>
          <w:color w:val="auto"/>
          <w:sz w:val="32"/>
          <w:szCs w:val="32"/>
        </w:rPr>
        <w:t>类）</w:t>
      </w:r>
      <w:r>
        <w:rPr>
          <w:rFonts w:hint="eastAsia" w:ascii="仿宋" w:hAnsi="仿宋" w:eastAsia="仿宋"/>
          <w:color w:val="auto"/>
          <w:sz w:val="32"/>
          <w:szCs w:val="32"/>
          <w:lang w:eastAsia="zh-CN"/>
        </w:rPr>
        <w:t>。</w:t>
      </w:r>
      <w:r>
        <w:rPr>
          <w:rFonts w:hint="eastAsia" w:ascii="仿宋" w:hAnsi="仿宋" w:eastAsia="仿宋"/>
          <w:color w:val="auto"/>
          <w:sz w:val="32"/>
          <w:szCs w:val="32"/>
        </w:rPr>
        <w:t>年初预算为</w:t>
      </w:r>
      <w:r>
        <w:rPr>
          <w:rFonts w:ascii="仿宋" w:hAnsi="仿宋" w:eastAsia="仿宋"/>
          <w:color w:val="auto"/>
          <w:sz w:val="32"/>
          <w:szCs w:val="32"/>
        </w:rPr>
        <w:t>48.06</w:t>
      </w:r>
      <w:r>
        <w:rPr>
          <w:rFonts w:hint="eastAsia" w:ascii="仿宋" w:hAnsi="仿宋" w:eastAsia="仿宋"/>
          <w:color w:val="auto"/>
          <w:sz w:val="32"/>
          <w:szCs w:val="32"/>
        </w:rPr>
        <w:t>万元，支出决算为</w:t>
      </w:r>
      <w:r>
        <w:rPr>
          <w:rFonts w:ascii="仿宋" w:hAnsi="仿宋" w:eastAsia="仿宋"/>
          <w:color w:val="auto"/>
          <w:sz w:val="32"/>
          <w:szCs w:val="32"/>
        </w:rPr>
        <w:t>42.61</w:t>
      </w:r>
      <w:r>
        <w:rPr>
          <w:rFonts w:hint="eastAsia" w:ascii="仿宋" w:hAnsi="仿宋" w:eastAsia="仿宋"/>
          <w:color w:val="auto"/>
          <w:sz w:val="32"/>
          <w:szCs w:val="32"/>
        </w:rPr>
        <w:t>万元，完成年初预算的</w:t>
      </w:r>
      <w:r>
        <w:rPr>
          <w:rFonts w:ascii="仿宋" w:hAnsi="仿宋" w:eastAsia="仿宋"/>
          <w:color w:val="auto"/>
          <w:sz w:val="32"/>
          <w:szCs w:val="32"/>
        </w:rPr>
        <w:t>88.66%</w:t>
      </w:r>
      <w:r>
        <w:rPr>
          <w:rFonts w:hint="eastAsia" w:ascii="仿宋" w:hAnsi="仿宋" w:eastAsia="仿宋"/>
          <w:color w:val="auto"/>
          <w:sz w:val="32"/>
          <w:szCs w:val="32"/>
        </w:rPr>
        <w:t>。预决算存有差异原因是：</w:t>
      </w:r>
      <w:r>
        <w:rPr>
          <w:rFonts w:hint="eastAsia" w:ascii="仿宋" w:hAnsi="仿宋" w:eastAsia="仿宋"/>
          <w:color w:val="auto"/>
          <w:sz w:val="32"/>
          <w:szCs w:val="32"/>
          <w:lang w:val="en-US" w:eastAsia="zh-CN"/>
        </w:rPr>
        <w:t>2022年有在职人员工作调动减员，在职人员退休，故卫生健康支出减少</w:t>
      </w:r>
      <w:r>
        <w:rPr>
          <w:rFonts w:hint="eastAsia" w:ascii="仿宋" w:hAnsi="仿宋" w:eastAsia="仿宋" w:cs="仿宋"/>
          <w:color w:val="auto"/>
          <w:sz w:val="32"/>
          <w:szCs w:val="32"/>
        </w:rPr>
        <w:t>。</w:t>
      </w:r>
    </w:p>
    <w:p>
      <w:pPr>
        <w:jc w:val="left"/>
        <w:rPr>
          <w:rFonts w:ascii="仿宋" w:hAnsi="仿宋" w:eastAsia="仿宋"/>
          <w:color w:val="auto"/>
          <w:sz w:val="32"/>
          <w:szCs w:val="32"/>
        </w:rPr>
      </w:pPr>
      <w:r>
        <w:rPr>
          <w:rFonts w:hint="eastAsia" w:ascii="仿宋" w:hAnsi="仿宋" w:eastAsia="仿宋"/>
          <w:color w:val="auto"/>
          <w:sz w:val="32"/>
          <w:szCs w:val="32"/>
        </w:rPr>
        <w:t>支出具体情况如下：</w:t>
      </w:r>
    </w:p>
    <w:tbl>
      <w:tblPr>
        <w:tblStyle w:val="6"/>
        <w:tblW w:w="8536" w:type="dxa"/>
        <w:tblInd w:w="96" w:type="dxa"/>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原因</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2101101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行政单位医疗</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23.22</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19.94</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85.87%</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18"/>
                <w:szCs w:val="18"/>
                <w:lang w:eastAsia="zh-CN"/>
              </w:rPr>
            </w:pPr>
            <w:r>
              <w:rPr>
                <w:rFonts w:hint="eastAsia" w:ascii="仿宋" w:hAnsi="仿宋" w:eastAsia="仿宋" w:cs="仿宋"/>
                <w:color w:val="auto"/>
                <w:szCs w:val="21"/>
                <w:lang w:eastAsia="zh-CN"/>
              </w:rPr>
              <w:t>用于在职人员医疗保险缴费、在职退休人员大病统筹缴费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18"/>
                <w:szCs w:val="18"/>
                <w:lang w:val="en-US" w:eastAsia="zh-CN"/>
              </w:rPr>
            </w:pPr>
            <w:r>
              <w:rPr>
                <w:rFonts w:hint="eastAsia" w:ascii="仿宋" w:hAnsi="仿宋" w:eastAsia="仿宋" w:cs="仿宋"/>
                <w:color w:val="auto"/>
                <w:sz w:val="18"/>
                <w:szCs w:val="18"/>
                <w:lang w:val="en-US" w:eastAsia="zh-CN"/>
              </w:rPr>
              <w:t>2022年有在职人员工作调动减员，在职人员退休，行政医疗等支出减少</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2101103</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公务员医疗补助</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24.84</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22.67</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91.26%</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18"/>
                <w:szCs w:val="18"/>
                <w:lang w:eastAsia="zh-CN"/>
              </w:rPr>
            </w:pPr>
            <w:r>
              <w:rPr>
                <w:rFonts w:hint="eastAsia" w:ascii="仿宋" w:hAnsi="仿宋" w:eastAsia="仿宋" w:cs="仿宋"/>
                <w:color w:val="auto"/>
                <w:szCs w:val="21"/>
                <w:lang w:eastAsia="zh-CN"/>
              </w:rPr>
              <w:t>主要用于在职、退休人员公务员医疗补助缴费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18"/>
                <w:szCs w:val="18"/>
                <w:lang w:val="en-US" w:eastAsia="zh-CN"/>
              </w:rPr>
            </w:pPr>
            <w:r>
              <w:rPr>
                <w:rFonts w:hint="eastAsia" w:ascii="仿宋" w:hAnsi="仿宋" w:eastAsia="仿宋" w:cs="仿宋"/>
                <w:color w:val="auto"/>
                <w:sz w:val="18"/>
                <w:szCs w:val="18"/>
                <w:lang w:val="en-US" w:eastAsia="zh-CN"/>
              </w:rPr>
              <w:t>2022年有在职人员工作调动减员，在职人员退休，行政医疗等支出减少</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48.07</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42.61</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18"/>
                <w:szCs w:val="18"/>
                <w:lang w:eastAsia="zh-CN"/>
              </w:rPr>
            </w:pPr>
            <w:r>
              <w:rPr>
                <w:rFonts w:hint="eastAsia" w:ascii="仿宋" w:hAnsi="仿宋" w:eastAsia="仿宋" w:cs="仿宋"/>
                <w:color w:val="auto"/>
                <w:szCs w:val="21"/>
                <w:lang w:eastAsia="zh-CN"/>
              </w:rPr>
              <w:t>主要用于医疗保险缴费、公务员医疗补助缴费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18"/>
                <w:szCs w:val="18"/>
              </w:rPr>
            </w:pPr>
            <w:r>
              <w:rPr>
                <w:rFonts w:hint="eastAsia" w:ascii="仿宋" w:hAnsi="仿宋" w:eastAsia="仿宋" w:cs="仿宋"/>
                <w:color w:val="auto"/>
                <w:sz w:val="18"/>
                <w:szCs w:val="18"/>
                <w:lang w:val="en-US" w:eastAsia="zh-CN"/>
              </w:rPr>
              <w:t>2022年有在职人员工作调动减员，在职人员退休，行政医疗等支出减少</w:t>
            </w:r>
          </w:p>
        </w:tc>
      </w:tr>
    </w:tbl>
    <w:p>
      <w:pPr>
        <w:jc w:val="left"/>
        <w:rPr>
          <w:rFonts w:ascii="仿宋" w:hAnsi="仿宋" w:eastAsia="仿宋"/>
          <w:color w:val="auto"/>
          <w:sz w:val="32"/>
          <w:szCs w:val="32"/>
        </w:rPr>
      </w:pPr>
    </w:p>
    <w:p>
      <w:pPr>
        <w:jc w:val="center"/>
        <w:rPr>
          <w:rFonts w:ascii="仿宋" w:hAnsi="仿宋" w:eastAsia="仿宋"/>
          <w:color w:val="auto"/>
          <w:sz w:val="32"/>
          <w:szCs w:val="32"/>
        </w:rPr>
      </w:pPr>
      <w:r>
        <w:rPr>
          <w:rFonts w:hint="eastAsia" w:ascii="仿宋" w:hAnsi="仿宋" w:eastAsia="仿宋" w:cs="仿宋"/>
          <w:color w:val="auto"/>
          <w:sz w:val="32"/>
          <w:szCs w:val="32"/>
        </w:rPr>
        <w:drawing>
          <wp:inline distT="0" distB="0" distL="114300" distR="114300">
            <wp:extent cx="4474845" cy="3215640"/>
            <wp:effectExtent l="4445" t="4445" r="16510" b="5715"/>
            <wp:docPr id="10"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numPr>
          <w:ilvl w:val="0"/>
          <w:numId w:val="1"/>
        </w:numPr>
        <w:jc w:val="left"/>
        <w:rPr>
          <w:rFonts w:eastAsia="仿宋"/>
          <w:color w:val="auto"/>
        </w:rPr>
      </w:pPr>
      <w:r>
        <w:rPr>
          <w:rFonts w:hint="eastAsia" w:ascii="仿宋" w:hAnsi="仿宋" w:eastAsia="仿宋"/>
          <w:color w:val="auto"/>
          <w:sz w:val="32"/>
          <w:szCs w:val="32"/>
        </w:rPr>
        <w:t>农林水支出</w:t>
      </w:r>
      <w:r>
        <w:rPr>
          <w:rFonts w:ascii="仿宋" w:hAnsi="仿宋" w:eastAsia="仿宋"/>
          <w:color w:val="auto"/>
          <w:sz w:val="32"/>
        </w:rPr>
        <w:t>（213</w:t>
      </w:r>
      <w:r>
        <w:rPr>
          <w:rFonts w:hint="eastAsia" w:ascii="仿宋" w:hAnsi="仿宋" w:eastAsia="仿宋"/>
          <w:color w:val="auto"/>
          <w:sz w:val="32"/>
          <w:szCs w:val="32"/>
        </w:rPr>
        <w:t>类）</w:t>
      </w:r>
      <w:r>
        <w:rPr>
          <w:rFonts w:hint="eastAsia" w:ascii="仿宋" w:hAnsi="仿宋" w:eastAsia="仿宋"/>
          <w:color w:val="auto"/>
          <w:sz w:val="32"/>
          <w:szCs w:val="32"/>
          <w:lang w:eastAsia="zh-CN"/>
        </w:rPr>
        <w:t>。</w:t>
      </w:r>
      <w:r>
        <w:rPr>
          <w:rFonts w:hint="eastAsia" w:ascii="仿宋" w:hAnsi="仿宋" w:eastAsia="仿宋"/>
          <w:color w:val="auto"/>
          <w:sz w:val="32"/>
          <w:szCs w:val="32"/>
        </w:rPr>
        <w:t>年初预算为</w:t>
      </w:r>
      <w:r>
        <w:rPr>
          <w:rFonts w:ascii="仿宋" w:hAnsi="仿宋" w:eastAsia="仿宋"/>
          <w:color w:val="auto"/>
          <w:sz w:val="32"/>
          <w:szCs w:val="32"/>
        </w:rPr>
        <w:t>505.67</w:t>
      </w:r>
      <w:r>
        <w:rPr>
          <w:rFonts w:hint="eastAsia" w:ascii="仿宋" w:hAnsi="仿宋" w:eastAsia="仿宋"/>
          <w:color w:val="auto"/>
          <w:sz w:val="32"/>
          <w:szCs w:val="32"/>
        </w:rPr>
        <w:t>万元，支出决算为</w:t>
      </w:r>
      <w:r>
        <w:rPr>
          <w:rFonts w:ascii="仿宋" w:hAnsi="仿宋" w:eastAsia="仿宋"/>
          <w:color w:val="auto"/>
          <w:sz w:val="32"/>
          <w:szCs w:val="32"/>
        </w:rPr>
        <w:t>404.54</w:t>
      </w:r>
      <w:r>
        <w:rPr>
          <w:rFonts w:hint="eastAsia" w:ascii="仿宋" w:hAnsi="仿宋" w:eastAsia="仿宋"/>
          <w:color w:val="auto"/>
          <w:sz w:val="32"/>
          <w:szCs w:val="32"/>
        </w:rPr>
        <w:t>万元，完成年初预算的</w:t>
      </w:r>
      <w:r>
        <w:rPr>
          <w:rFonts w:ascii="仿宋" w:hAnsi="仿宋" w:eastAsia="仿宋"/>
          <w:color w:val="auto"/>
          <w:sz w:val="32"/>
          <w:szCs w:val="32"/>
        </w:rPr>
        <w:t>80.00%</w:t>
      </w:r>
      <w:r>
        <w:rPr>
          <w:rFonts w:hint="eastAsia" w:ascii="仿宋" w:hAnsi="仿宋" w:eastAsia="仿宋"/>
          <w:color w:val="auto"/>
          <w:sz w:val="32"/>
          <w:szCs w:val="32"/>
        </w:rPr>
        <w:t>。预决算存有差异原因是：</w:t>
      </w:r>
      <w:r>
        <w:rPr>
          <w:rFonts w:hint="eastAsia" w:ascii="仿宋" w:hAnsi="仿宋" w:eastAsia="仿宋"/>
          <w:color w:val="auto"/>
          <w:sz w:val="32"/>
          <w:szCs w:val="32"/>
          <w:lang w:eastAsia="zh-CN"/>
        </w:rPr>
        <w:t>一是按照单位当年业务工作开展需要支出；二是有在职人员工作调动减员，公用经费支出减少。</w:t>
      </w:r>
    </w:p>
    <w:p>
      <w:pPr>
        <w:jc w:val="left"/>
        <w:rPr>
          <w:rFonts w:ascii="仿宋" w:hAnsi="仿宋" w:eastAsia="仿宋"/>
          <w:color w:val="auto"/>
          <w:sz w:val="32"/>
          <w:szCs w:val="32"/>
        </w:rPr>
      </w:pPr>
      <w:r>
        <w:rPr>
          <w:rFonts w:hint="eastAsia" w:ascii="仿宋" w:hAnsi="仿宋" w:eastAsia="仿宋"/>
          <w:color w:val="auto"/>
          <w:sz w:val="32"/>
          <w:szCs w:val="32"/>
        </w:rPr>
        <w:t>支出具体情况如下：</w:t>
      </w:r>
    </w:p>
    <w:tbl>
      <w:tblPr>
        <w:tblStyle w:val="6"/>
        <w:tblW w:w="8536" w:type="dxa"/>
        <w:tblInd w:w="96" w:type="dxa"/>
        <w:tblLayout w:type="fixed"/>
        <w:tblCellMar>
          <w:top w:w="0" w:type="dxa"/>
          <w:left w:w="108" w:type="dxa"/>
          <w:bottom w:w="0" w:type="dxa"/>
          <w:right w:w="108" w:type="dxa"/>
        </w:tblCellMar>
      </w:tblPr>
      <w:tblGrid>
        <w:gridCol w:w="955"/>
        <w:gridCol w:w="1076"/>
        <w:gridCol w:w="994"/>
        <w:gridCol w:w="806"/>
        <w:gridCol w:w="1097"/>
        <w:gridCol w:w="1783"/>
        <w:gridCol w:w="1825"/>
      </w:tblGrid>
      <w:tr>
        <w:tblPrEx>
          <w:tblCellMar>
            <w:top w:w="0" w:type="dxa"/>
            <w:left w:w="108" w:type="dxa"/>
            <w:bottom w:w="0" w:type="dxa"/>
            <w:right w:w="108" w:type="dxa"/>
          </w:tblCellMar>
        </w:tblPrEx>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原因</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2130101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行政运行</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474.67</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375.84</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79.18%</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18"/>
                <w:szCs w:val="18"/>
                <w:lang w:eastAsia="zh-CN"/>
              </w:rPr>
            </w:pPr>
            <w:r>
              <w:rPr>
                <w:rFonts w:hint="eastAsia" w:ascii="仿宋" w:hAnsi="仿宋" w:eastAsia="仿宋" w:cs="仿宋"/>
                <w:color w:val="auto"/>
                <w:szCs w:val="21"/>
                <w:lang w:eastAsia="zh-CN"/>
              </w:rPr>
              <w:t>公用经费支出、本级项目经费支出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18"/>
                <w:szCs w:val="18"/>
                <w:lang w:eastAsia="zh-CN"/>
              </w:rPr>
            </w:pPr>
            <w:r>
              <w:rPr>
                <w:rFonts w:hint="eastAsia" w:ascii="仿宋" w:hAnsi="仿宋" w:eastAsia="仿宋" w:cs="仿宋"/>
                <w:color w:val="auto"/>
                <w:sz w:val="18"/>
                <w:szCs w:val="18"/>
                <w:lang w:eastAsia="zh-CN"/>
              </w:rPr>
              <w:t>单位业务工作需要；人员工作调动减员</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2130102</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一般行政管理事务</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8.00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5.91</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73.88%</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18"/>
                <w:szCs w:val="18"/>
                <w:lang w:eastAsia="zh-CN"/>
              </w:rPr>
            </w:pPr>
            <w:r>
              <w:rPr>
                <w:rFonts w:hint="eastAsia" w:ascii="仿宋" w:hAnsi="仿宋" w:eastAsia="仿宋" w:cs="仿宋"/>
                <w:color w:val="auto"/>
                <w:szCs w:val="21"/>
                <w:lang w:eastAsia="zh-CN"/>
              </w:rPr>
              <w:t>本级项目经费支出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仿宋" w:hAnsi="仿宋" w:eastAsia="仿宋" w:cs="仿宋"/>
                <w:color w:val="auto"/>
                <w:sz w:val="18"/>
                <w:szCs w:val="18"/>
                <w:lang w:eastAsia="zh-CN"/>
              </w:rPr>
              <w:t>单位业务工作需要</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2130122</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农业生产发展</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23.00</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22.79</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99.09%</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18"/>
                <w:szCs w:val="18"/>
                <w:lang w:eastAsia="zh-CN"/>
              </w:rPr>
            </w:pPr>
            <w:r>
              <w:rPr>
                <w:rFonts w:hint="eastAsia" w:ascii="仿宋" w:hAnsi="仿宋" w:eastAsia="仿宋" w:cs="仿宋"/>
                <w:color w:val="auto"/>
                <w:szCs w:val="21"/>
                <w:lang w:eastAsia="zh-CN"/>
              </w:rPr>
              <w:t>本级项目经费支出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仿宋" w:hAnsi="仿宋" w:eastAsia="仿宋" w:cs="仿宋"/>
                <w:color w:val="auto"/>
                <w:sz w:val="18"/>
                <w:szCs w:val="18"/>
                <w:lang w:eastAsia="zh-CN"/>
              </w:rPr>
              <w:t>单位业务工作需要</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505.67</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404.54</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18"/>
                <w:szCs w:val="18"/>
              </w:rPr>
            </w:pPr>
            <w:r>
              <w:rPr>
                <w:rFonts w:hint="eastAsia" w:ascii="仿宋" w:hAnsi="仿宋" w:eastAsia="仿宋" w:cs="仿宋"/>
                <w:color w:val="auto"/>
                <w:szCs w:val="21"/>
                <w:lang w:eastAsia="zh-CN"/>
              </w:rPr>
              <w:t>公用经费支出、本级项目经费支出</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仿宋" w:hAnsi="仿宋" w:eastAsia="仿宋" w:cs="仿宋"/>
                <w:color w:val="auto"/>
                <w:sz w:val="18"/>
                <w:szCs w:val="18"/>
                <w:lang w:eastAsia="zh-CN"/>
              </w:rPr>
              <w:t>单位业务工作需要；人员工作调动减员</w:t>
            </w:r>
          </w:p>
        </w:tc>
      </w:tr>
    </w:tbl>
    <w:p>
      <w:pPr>
        <w:jc w:val="left"/>
        <w:rPr>
          <w:rFonts w:ascii="仿宋" w:hAnsi="仿宋" w:eastAsia="仿宋"/>
          <w:color w:val="auto"/>
          <w:sz w:val="32"/>
          <w:szCs w:val="32"/>
        </w:rPr>
      </w:pPr>
    </w:p>
    <w:p>
      <w:pPr>
        <w:jc w:val="center"/>
        <w:rPr>
          <w:rFonts w:ascii="仿宋" w:hAnsi="仿宋" w:eastAsia="仿宋"/>
          <w:color w:val="auto"/>
          <w:sz w:val="32"/>
          <w:szCs w:val="32"/>
        </w:rPr>
      </w:pPr>
      <w:r>
        <w:rPr>
          <w:rFonts w:hint="eastAsia" w:ascii="仿宋" w:hAnsi="仿宋" w:eastAsia="仿宋" w:cs="仿宋"/>
          <w:color w:val="auto"/>
          <w:sz w:val="32"/>
          <w:szCs w:val="32"/>
        </w:rPr>
        <w:drawing>
          <wp:inline distT="0" distB="0" distL="114300" distR="114300">
            <wp:extent cx="4474845" cy="3215640"/>
            <wp:effectExtent l="4445" t="4445" r="16510" b="5715"/>
            <wp:docPr id="1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numPr>
          <w:ilvl w:val="0"/>
          <w:numId w:val="1"/>
        </w:numPr>
        <w:jc w:val="left"/>
        <w:rPr>
          <w:rFonts w:eastAsia="仿宋"/>
          <w:color w:val="auto"/>
        </w:rPr>
      </w:pPr>
      <w:r>
        <w:rPr>
          <w:rFonts w:hint="eastAsia" w:ascii="仿宋" w:hAnsi="仿宋" w:eastAsia="仿宋"/>
          <w:color w:val="auto"/>
          <w:sz w:val="32"/>
          <w:szCs w:val="32"/>
        </w:rPr>
        <w:t>住房保障支出</w:t>
      </w:r>
      <w:r>
        <w:rPr>
          <w:rFonts w:ascii="仿宋" w:hAnsi="仿宋" w:eastAsia="仿宋"/>
          <w:color w:val="auto"/>
          <w:sz w:val="32"/>
        </w:rPr>
        <w:t>（221</w:t>
      </w:r>
      <w:r>
        <w:rPr>
          <w:rFonts w:hint="eastAsia" w:ascii="仿宋" w:hAnsi="仿宋" w:eastAsia="仿宋"/>
          <w:color w:val="auto"/>
          <w:sz w:val="32"/>
          <w:szCs w:val="32"/>
        </w:rPr>
        <w:t>类）</w:t>
      </w:r>
      <w:r>
        <w:rPr>
          <w:rFonts w:hint="eastAsia" w:ascii="仿宋" w:hAnsi="仿宋" w:eastAsia="仿宋"/>
          <w:color w:val="auto"/>
          <w:sz w:val="32"/>
          <w:szCs w:val="32"/>
          <w:lang w:eastAsia="zh-CN"/>
        </w:rPr>
        <w:t>。</w:t>
      </w:r>
      <w:r>
        <w:rPr>
          <w:rFonts w:hint="eastAsia" w:ascii="仿宋" w:hAnsi="仿宋" w:eastAsia="仿宋"/>
          <w:color w:val="auto"/>
          <w:sz w:val="32"/>
          <w:szCs w:val="32"/>
        </w:rPr>
        <w:t>年初预算为</w:t>
      </w:r>
      <w:r>
        <w:rPr>
          <w:rFonts w:ascii="仿宋" w:hAnsi="仿宋" w:eastAsia="仿宋"/>
          <w:color w:val="auto"/>
          <w:sz w:val="32"/>
          <w:szCs w:val="32"/>
        </w:rPr>
        <w:t>40.81</w:t>
      </w:r>
      <w:r>
        <w:rPr>
          <w:rFonts w:hint="eastAsia" w:ascii="仿宋" w:hAnsi="仿宋" w:eastAsia="仿宋"/>
          <w:color w:val="auto"/>
          <w:sz w:val="32"/>
          <w:szCs w:val="32"/>
        </w:rPr>
        <w:t>万元，支出决算为</w:t>
      </w:r>
      <w:r>
        <w:rPr>
          <w:rFonts w:ascii="仿宋" w:hAnsi="仿宋" w:eastAsia="仿宋"/>
          <w:color w:val="auto"/>
          <w:sz w:val="32"/>
          <w:szCs w:val="32"/>
        </w:rPr>
        <w:t>34.91</w:t>
      </w:r>
      <w:r>
        <w:rPr>
          <w:rFonts w:hint="eastAsia" w:ascii="仿宋" w:hAnsi="仿宋" w:eastAsia="仿宋"/>
          <w:color w:val="auto"/>
          <w:sz w:val="32"/>
          <w:szCs w:val="32"/>
        </w:rPr>
        <w:t>万元，完成年初预算的</w:t>
      </w:r>
      <w:r>
        <w:rPr>
          <w:rFonts w:ascii="仿宋" w:hAnsi="仿宋" w:eastAsia="仿宋"/>
          <w:color w:val="auto"/>
          <w:sz w:val="32"/>
          <w:szCs w:val="32"/>
        </w:rPr>
        <w:t>85.54%</w:t>
      </w:r>
      <w:r>
        <w:rPr>
          <w:rFonts w:hint="eastAsia" w:ascii="仿宋" w:hAnsi="仿宋" w:eastAsia="仿宋"/>
          <w:color w:val="auto"/>
          <w:sz w:val="32"/>
          <w:szCs w:val="32"/>
        </w:rPr>
        <w:t>。预决算存有差异原因是：</w:t>
      </w:r>
      <w:r>
        <w:rPr>
          <w:rFonts w:hint="eastAsia" w:ascii="仿宋" w:hAnsi="仿宋" w:eastAsia="仿宋" w:cs="仿宋"/>
          <w:color w:val="auto"/>
          <w:sz w:val="32"/>
          <w:szCs w:val="32"/>
          <w:lang w:val="en-US" w:eastAsia="zh-CN"/>
        </w:rPr>
        <w:t>2022年有在职人员工作调动减员，在职人员退休</w:t>
      </w:r>
      <w:r>
        <w:rPr>
          <w:rFonts w:hint="eastAsia" w:ascii="仿宋" w:hAnsi="仿宋" w:eastAsia="仿宋" w:cs="仿宋"/>
          <w:color w:val="auto"/>
          <w:sz w:val="32"/>
          <w:szCs w:val="32"/>
        </w:rPr>
        <w:t>。</w:t>
      </w:r>
    </w:p>
    <w:p>
      <w:pPr>
        <w:jc w:val="left"/>
        <w:rPr>
          <w:rFonts w:ascii="仿宋" w:hAnsi="仿宋" w:eastAsia="仿宋"/>
          <w:color w:val="auto"/>
          <w:sz w:val="32"/>
          <w:szCs w:val="32"/>
        </w:rPr>
      </w:pPr>
      <w:r>
        <w:rPr>
          <w:rFonts w:hint="eastAsia" w:ascii="仿宋" w:hAnsi="仿宋" w:eastAsia="仿宋"/>
          <w:color w:val="auto"/>
          <w:sz w:val="32"/>
          <w:szCs w:val="32"/>
        </w:rPr>
        <w:t>支出具体情况如下：</w:t>
      </w:r>
    </w:p>
    <w:tbl>
      <w:tblPr>
        <w:tblStyle w:val="6"/>
        <w:tblW w:w="8536" w:type="dxa"/>
        <w:tblInd w:w="96" w:type="dxa"/>
        <w:tblLayout w:type="fixed"/>
        <w:tblCellMar>
          <w:top w:w="0" w:type="dxa"/>
          <w:left w:w="108" w:type="dxa"/>
          <w:bottom w:w="0" w:type="dxa"/>
          <w:right w:w="108" w:type="dxa"/>
        </w:tblCellMar>
      </w:tblPr>
      <w:tblGrid>
        <w:gridCol w:w="955"/>
        <w:gridCol w:w="1076"/>
        <w:gridCol w:w="994"/>
        <w:gridCol w:w="806"/>
        <w:gridCol w:w="1097"/>
        <w:gridCol w:w="1783"/>
        <w:gridCol w:w="1825"/>
      </w:tblGrid>
      <w:tr>
        <w:trPr>
          <w:trHeight w:val="63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类款项</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科目名称</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年初预算数</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决算</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完成预算百分比</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主要用于</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20"/>
                <w:szCs w:val="20"/>
              </w:rPr>
            </w:pPr>
            <w:r>
              <w:rPr>
                <w:rFonts w:hint="eastAsia" w:ascii="宋体" w:hAnsi="宋体" w:eastAsia="宋体" w:cs="宋体"/>
                <w:color w:val="auto"/>
                <w:kern w:val="0"/>
                <w:sz w:val="20"/>
                <w:szCs w:val="20"/>
              </w:rPr>
              <w:t>原因</w:t>
            </w:r>
          </w:p>
        </w:tc>
      </w:tr>
      <w:tr>
        <w:tblPrEx>
          <w:tblCellMar>
            <w:top w:w="0" w:type="dxa"/>
            <w:left w:w="108" w:type="dxa"/>
            <w:bottom w:w="0" w:type="dxa"/>
            <w:right w:w="108" w:type="dxa"/>
          </w:tblCellMar>
        </w:tblPrEx>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2210201</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住房公积金</w:t>
            </w: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40.81</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34.91</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85.54%</w:t>
            </w: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18"/>
                <w:szCs w:val="18"/>
                <w:lang w:eastAsia="zh-CN"/>
              </w:rPr>
            </w:pPr>
            <w:r>
              <w:rPr>
                <w:rFonts w:hint="eastAsia" w:ascii="仿宋" w:hAnsi="仿宋" w:eastAsia="仿宋" w:cs="仿宋"/>
                <w:color w:val="auto"/>
                <w:szCs w:val="21"/>
                <w:lang w:eastAsia="zh-CN"/>
              </w:rPr>
              <w:t>用于在职职工住房公积金缴费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18"/>
                <w:szCs w:val="18"/>
                <w:lang w:eastAsia="zh-CN"/>
              </w:rPr>
            </w:pPr>
            <w:r>
              <w:rPr>
                <w:rFonts w:hint="eastAsia" w:ascii="仿宋" w:hAnsi="仿宋" w:eastAsia="仿宋" w:cs="仿宋"/>
                <w:color w:val="auto"/>
                <w:sz w:val="18"/>
                <w:szCs w:val="18"/>
                <w:lang w:eastAsia="zh-CN"/>
              </w:rPr>
              <w:t>在职人员工作调动减员，在职人员退休</w:t>
            </w:r>
          </w:p>
        </w:tc>
      </w:tr>
      <w:tr>
        <w:trPr>
          <w:trHeight w:val="614" w:hRule="atLeast"/>
        </w:trPr>
        <w:tc>
          <w:tcPr>
            <w:tcW w:w="95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r>
              <w:rPr>
                <w:rFonts w:hint="eastAsia" w:ascii="宋体" w:hAnsi="宋体" w:eastAsia="宋体" w:cs="宋体"/>
                <w:color w:val="auto"/>
                <w:sz w:val="20"/>
                <w:szCs w:val="20"/>
              </w:rPr>
              <w:t>合计数</w:t>
            </w:r>
          </w:p>
        </w:tc>
        <w:tc>
          <w:tcPr>
            <w:tcW w:w="107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 w:val="20"/>
                <w:szCs w:val="20"/>
              </w:rPr>
            </w:pPr>
          </w:p>
        </w:tc>
        <w:tc>
          <w:tcPr>
            <w:tcW w:w="994"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40.81</w:t>
            </w:r>
          </w:p>
        </w:tc>
        <w:tc>
          <w:tcPr>
            <w:tcW w:w="806"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宋体" w:hAnsi="宋体" w:eastAsia="宋体" w:cs="宋体"/>
                <w:color w:val="auto"/>
                <w:sz w:val="18"/>
                <w:szCs w:val="18"/>
              </w:rPr>
              <w:t>34.91</w:t>
            </w:r>
          </w:p>
        </w:tc>
        <w:tc>
          <w:tcPr>
            <w:tcW w:w="1097"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p>
        </w:tc>
        <w:tc>
          <w:tcPr>
            <w:tcW w:w="1783"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 w:val="18"/>
                <w:szCs w:val="18"/>
              </w:rPr>
            </w:pPr>
            <w:r>
              <w:rPr>
                <w:rFonts w:hint="eastAsia" w:ascii="仿宋" w:hAnsi="仿宋" w:eastAsia="仿宋" w:cs="仿宋"/>
                <w:color w:val="auto"/>
                <w:szCs w:val="21"/>
                <w:lang w:eastAsia="zh-CN"/>
              </w:rPr>
              <w:t>用于在职职工住房公积金缴费</w:t>
            </w:r>
          </w:p>
        </w:tc>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tbl>
            <w:tblPr>
              <w:tblStyle w:val="6"/>
              <w:tblpPr w:leftFromText="180" w:rightFromText="180" w:vertAnchor="text" w:horzAnchor="page" w:tblpX="1790" w:tblpY="-302"/>
              <w:tblOverlap w:val="never"/>
              <w:tblW w:w="8536" w:type="dxa"/>
              <w:tblInd w:w="0" w:type="dxa"/>
              <w:tblLayout w:type="fixed"/>
              <w:tblCellMar>
                <w:top w:w="0" w:type="dxa"/>
                <w:left w:w="108" w:type="dxa"/>
                <w:bottom w:w="0" w:type="dxa"/>
                <w:right w:w="108" w:type="dxa"/>
              </w:tblCellMar>
            </w:tblPr>
            <w:tblGrid>
              <w:gridCol w:w="1825"/>
            </w:tblGrid>
            <w:tr>
              <w:tblPrEx>
                <w:tblCellMar>
                  <w:top w:w="0" w:type="dxa"/>
                  <w:left w:w="108" w:type="dxa"/>
                  <w:bottom w:w="0" w:type="dxa"/>
                  <w:right w:w="108" w:type="dxa"/>
                </w:tblCellMar>
              </w:tblPrEx>
              <w:trPr>
                <w:trHeight w:val="614" w:hRule="atLeast"/>
              </w:trPr>
              <w:tc>
                <w:tcPr>
                  <w:tcW w:w="1825" w:type="dxa"/>
                  <w:tcBorders>
                    <w:top w:val="dotted" w:color="auto" w:sz="0" w:space="0"/>
                    <w:left w:val="dotted" w:color="auto" w:sz="0" w:space="0"/>
                    <w:bottom w:val="dotted" w:color="auto" w:sz="0" w:space="0"/>
                    <w:right w:val="dotted" w:color="auto" w:sz="0" w:space="0"/>
                  </w:tcBorders>
                  <w:shd w:val="clear" w:color="auto" w:fill="FFFFFF"/>
                  <w:noWrap/>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auto"/>
                      <w:sz w:val="18"/>
                      <w:szCs w:val="18"/>
                      <w:lang w:eastAsia="zh-CN"/>
                    </w:rPr>
                  </w:pPr>
                  <w:r>
                    <w:rPr>
                      <w:rFonts w:hint="eastAsia" w:ascii="仿宋" w:hAnsi="仿宋" w:eastAsia="仿宋" w:cs="仿宋"/>
                      <w:color w:val="auto"/>
                      <w:sz w:val="18"/>
                      <w:szCs w:val="18"/>
                      <w:lang w:eastAsia="zh-CN"/>
                    </w:rPr>
                    <w:t>在职人员工作调动减员，在职人员退休</w:t>
                  </w:r>
                </w:p>
              </w:tc>
            </w:tr>
          </w:tbl>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18"/>
                <w:szCs w:val="18"/>
                <w:lang w:eastAsia="zh-CN"/>
              </w:rPr>
            </w:pPr>
          </w:p>
        </w:tc>
      </w:tr>
    </w:tbl>
    <w:p>
      <w:pPr>
        <w:jc w:val="left"/>
        <w:rPr>
          <w:rFonts w:ascii="仿宋" w:hAnsi="仿宋" w:eastAsia="仿宋"/>
          <w:color w:val="auto"/>
          <w:sz w:val="32"/>
          <w:szCs w:val="32"/>
        </w:rPr>
      </w:pPr>
    </w:p>
    <w:p>
      <w:pPr>
        <w:jc w:val="center"/>
        <w:rPr>
          <w:rFonts w:ascii="仿宋" w:hAnsi="仿宋" w:eastAsia="仿宋"/>
          <w:color w:val="auto"/>
          <w:sz w:val="32"/>
          <w:szCs w:val="32"/>
        </w:rPr>
      </w:pPr>
      <w:r>
        <w:rPr>
          <w:rFonts w:hint="eastAsia" w:ascii="仿宋" w:hAnsi="仿宋" w:eastAsia="仿宋" w:cs="仿宋"/>
          <w:color w:val="auto"/>
          <w:sz w:val="32"/>
          <w:szCs w:val="32"/>
        </w:rPr>
        <w:drawing>
          <wp:inline distT="0" distB="0" distL="114300" distR="114300">
            <wp:extent cx="4474845" cy="3215640"/>
            <wp:effectExtent l="4445" t="4445" r="16510" b="5715"/>
            <wp:docPr id="1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jc w:val="left"/>
        <w:rPr>
          <w:rFonts w:ascii="仿宋" w:hAnsi="仿宋" w:eastAsia="仿宋" w:cs="仿宋"/>
          <w:color w:val="auto"/>
          <w:sz w:val="32"/>
          <w:szCs w:val="32"/>
        </w:rPr>
      </w:pPr>
      <w:r>
        <w:rPr>
          <w:rFonts w:hint="eastAsia" w:ascii="黑体" w:hAnsi="黑体" w:eastAsia="黑体" w:cs="黑体"/>
          <w:color w:val="auto"/>
          <w:sz w:val="32"/>
          <w:szCs w:val="32"/>
        </w:rPr>
        <w:t>三、2022年度一般公共预算财政拨款基本支出决算情况说明</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河池市农业机械化服务中心2022年度一般公共预算财政拨款基本支出</w:t>
      </w:r>
      <w:r>
        <w:rPr>
          <w:rFonts w:ascii="仿宋" w:hAnsi="仿宋" w:eastAsia="仿宋" w:cs="仿宋"/>
          <w:color w:val="auto"/>
          <w:sz w:val="32"/>
        </w:rPr>
        <w:t>493.79</w:t>
      </w:r>
      <w:r>
        <w:rPr>
          <w:rFonts w:hint="eastAsia" w:ascii="仿宋" w:hAnsi="仿宋" w:eastAsia="仿宋" w:cs="仿宋"/>
          <w:color w:val="auto"/>
          <w:sz w:val="32"/>
          <w:szCs w:val="32"/>
        </w:rPr>
        <w:t>万元，</w:t>
      </w:r>
      <w:r>
        <w:rPr>
          <w:rFonts w:ascii="仿宋_GB2312" w:hAnsi="微软雅黑" w:eastAsia="仿宋_GB2312" w:cs="仿宋_GB2312"/>
          <w:color w:val="auto"/>
          <w:sz w:val="31"/>
          <w:szCs w:val="31"/>
          <w:shd w:val="clear" w:color="auto" w:fill="FFFFFF"/>
        </w:rPr>
        <w:t>其中：人员经费支出</w:t>
      </w:r>
      <w:r>
        <w:rPr>
          <w:rFonts w:hint="eastAsia" w:ascii="仿宋" w:hAnsi="仿宋" w:eastAsia="仿宋" w:cs="仿宋"/>
          <w:color w:val="auto"/>
          <w:sz w:val="32"/>
          <w:szCs w:val="32"/>
        </w:rPr>
        <w:t>430.20</w:t>
      </w:r>
      <w:r>
        <w:rPr>
          <w:rFonts w:ascii="仿宋_GB2312" w:hAnsi="微软雅黑" w:eastAsia="仿宋_GB2312" w:cs="仿宋_GB2312"/>
          <w:color w:val="auto"/>
          <w:sz w:val="31"/>
          <w:szCs w:val="31"/>
          <w:shd w:val="clear" w:color="auto" w:fill="FFFFFF"/>
        </w:rPr>
        <w:t>万元，公用经费支出</w:t>
      </w:r>
      <w:r>
        <w:rPr>
          <w:rFonts w:hint="eastAsia" w:ascii="仿宋" w:hAnsi="仿宋" w:eastAsia="仿宋" w:cs="仿宋"/>
          <w:color w:val="auto"/>
          <w:sz w:val="32"/>
          <w:szCs w:val="32"/>
        </w:rPr>
        <w:t>63.59</w:t>
      </w:r>
      <w:r>
        <w:rPr>
          <w:rFonts w:ascii="仿宋_GB2312" w:hAnsi="微软雅黑" w:eastAsia="仿宋_GB2312" w:cs="仿宋_GB2312"/>
          <w:color w:val="auto"/>
          <w:sz w:val="31"/>
          <w:szCs w:val="31"/>
          <w:shd w:val="clear" w:color="auto" w:fill="FFFFFF"/>
        </w:rPr>
        <w:t>万元，</w:t>
      </w:r>
      <w:r>
        <w:rPr>
          <w:rFonts w:hint="eastAsia" w:ascii="仿宋" w:hAnsi="仿宋" w:eastAsia="仿宋" w:cs="仿宋"/>
          <w:color w:val="auto"/>
          <w:sz w:val="32"/>
          <w:szCs w:val="32"/>
        </w:rPr>
        <w:t>支出具体情况如下：</w:t>
      </w:r>
    </w:p>
    <w:p>
      <w:pPr>
        <w:numPr>
          <w:ilvl w:val="0"/>
          <w:numId w:val="2"/>
        </w:numPr>
        <w:jc w:val="left"/>
        <w:rPr>
          <w:rFonts w:ascii="仿宋" w:hAnsi="仿宋" w:eastAsia="仿宋" w:cs="仿宋"/>
          <w:color w:val="auto"/>
          <w:sz w:val="32"/>
          <w:szCs w:val="32"/>
        </w:rPr>
      </w:pPr>
      <w:r>
        <w:rPr>
          <w:rFonts w:hint="eastAsia" w:ascii="仿宋" w:hAnsi="仿宋" w:eastAsia="仿宋" w:cs="仿宋"/>
          <w:color w:val="auto"/>
          <w:sz w:val="32"/>
          <w:szCs w:val="32"/>
        </w:rPr>
        <w:t>工资福利支出</w:t>
      </w:r>
      <w:r>
        <w:rPr>
          <w:rFonts w:ascii="仿宋" w:hAnsi="仿宋" w:eastAsia="仿宋" w:cs="仿宋"/>
          <w:color w:val="auto"/>
          <w:sz w:val="32"/>
        </w:rPr>
        <w:t>398.84万元，</w:t>
      </w:r>
      <w:r>
        <w:rPr>
          <w:rFonts w:ascii="仿宋_GB2312" w:hAnsi="微软雅黑" w:eastAsia="仿宋_GB2312" w:cs="仿宋_GB2312"/>
          <w:color w:val="auto"/>
          <w:sz w:val="31"/>
          <w:szCs w:val="31"/>
          <w:shd w:val="clear" w:color="auto" w:fill="FFFFFF"/>
        </w:rPr>
        <w:t>完成年初预算的</w:t>
      </w:r>
      <w:r>
        <w:rPr>
          <w:rFonts w:hint="eastAsia" w:ascii="仿宋" w:hAnsi="仿宋" w:eastAsia="仿宋" w:cs="仿宋"/>
          <w:color w:val="auto"/>
          <w:sz w:val="32"/>
          <w:szCs w:val="32"/>
        </w:rPr>
        <w:t>83.47%</w:t>
      </w:r>
      <w:r>
        <w:rPr>
          <w:rFonts w:ascii="仿宋_GB2312" w:hAnsi="微软雅黑" w:eastAsia="仿宋_GB2312" w:cs="仿宋_GB2312"/>
          <w:color w:val="auto"/>
          <w:sz w:val="31"/>
          <w:szCs w:val="31"/>
          <w:shd w:val="clear" w:color="auto" w:fill="FFFFFF"/>
        </w:rPr>
        <w:t>，</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val="en-US" w:eastAsia="zh-CN"/>
        </w:rPr>
        <w:t>2022年在职人员工作调动减员、在职人员退休，支出减少</w:t>
      </w:r>
      <w:r>
        <w:rPr>
          <w:rFonts w:hint="eastAsia" w:ascii="仿宋" w:hAnsi="仿宋" w:eastAsia="仿宋" w:cs="仿宋"/>
          <w:color w:val="auto"/>
          <w:sz w:val="32"/>
          <w:szCs w:val="32"/>
        </w:rPr>
        <w:t>。</w:t>
      </w:r>
    </w:p>
    <w:p>
      <w:pPr>
        <w:ind w:firstLine="640" w:firstLineChars="200"/>
        <w:jc w:val="left"/>
        <w:rPr>
          <w:rFonts w:ascii="仿宋" w:hAnsi="仿宋" w:eastAsia="仿宋" w:cs="仿宋"/>
          <w:color w:val="auto"/>
          <w:sz w:val="32"/>
          <w:szCs w:val="32"/>
        </w:rPr>
      </w:pPr>
      <w:r>
        <w:rPr>
          <w:rFonts w:hint="eastAsia" w:ascii="仿宋" w:hAnsi="仿宋" w:eastAsia="仿宋"/>
          <w:color w:val="auto"/>
          <w:sz w:val="32"/>
          <w:szCs w:val="32"/>
        </w:rPr>
        <w:t>支出具体情况如下</w:t>
      </w:r>
      <w:r>
        <w:rPr>
          <w:rFonts w:hint="eastAsia" w:ascii="仿宋" w:hAnsi="仿宋" w:eastAsia="仿宋" w:cs="仿宋"/>
          <w:color w:val="auto"/>
          <w:sz w:val="32"/>
          <w:szCs w:val="32"/>
        </w:rPr>
        <w:t>：30101基本工资90.79万元，30102津贴补贴82.35万元，30103奖金112.87万元，30106伙食补助费0.00万元，30107绩效工资0.00万元，30108机关事业单位基本养老保险缴费46.55万元，30109职业年金缴费0.00万元，30110职工基本医疗保险缴费18.47万元，30111公务员医疗补助缴费11.43万元，30112其他社会保障缴费1.46万元，30113住房公积金34.91万元，30114医疗费0.00万元，30199其他工资福利支出0.00万元。</w:t>
      </w:r>
    </w:p>
    <w:p>
      <w:pPr>
        <w:jc w:val="center"/>
        <w:rPr>
          <w:rFonts w:ascii="仿宋" w:hAnsi="仿宋" w:eastAsia="仿宋" w:cs="仿宋"/>
          <w:color w:val="auto"/>
          <w:sz w:val="32"/>
          <w:szCs w:val="32"/>
        </w:rPr>
      </w:pPr>
      <w:r>
        <w:rPr>
          <w:rFonts w:hint="eastAsia" w:ascii="仿宋" w:hAnsi="仿宋" w:eastAsia="仿宋" w:cs="仿宋"/>
          <w:color w:val="auto"/>
          <w:sz w:val="32"/>
          <w:szCs w:val="32"/>
        </w:rPr>
        <w:drawing>
          <wp:inline distT="0" distB="0" distL="114300" distR="114300">
            <wp:extent cx="4474845" cy="3215640"/>
            <wp:effectExtent l="4445" t="4445" r="16510" b="18415"/>
            <wp:docPr id="1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rPr>
          <w:rFonts w:ascii="仿宋" w:hAnsi="仿宋" w:eastAsia="仿宋" w:cs="仿宋"/>
          <w:color w:val="auto"/>
          <w:sz w:val="32"/>
          <w:szCs w:val="32"/>
        </w:rPr>
      </w:pPr>
    </w:p>
    <w:p>
      <w:pPr>
        <w:numPr>
          <w:ilvl w:val="0"/>
          <w:numId w:val="2"/>
        </w:numPr>
        <w:jc w:val="left"/>
        <w:rPr>
          <w:rFonts w:ascii="仿宋" w:hAnsi="仿宋" w:eastAsia="仿宋" w:cs="仿宋"/>
          <w:color w:val="auto"/>
          <w:sz w:val="32"/>
          <w:szCs w:val="32"/>
        </w:rPr>
      </w:pPr>
      <w:r>
        <w:rPr>
          <w:rFonts w:hint="eastAsia" w:ascii="仿宋" w:hAnsi="仿宋" w:eastAsia="仿宋" w:cs="仿宋"/>
          <w:color w:val="auto"/>
          <w:sz w:val="32"/>
          <w:szCs w:val="32"/>
        </w:rPr>
        <w:t>商品和服务支出</w:t>
      </w:r>
      <w:r>
        <w:rPr>
          <w:rFonts w:ascii="仿宋" w:hAnsi="仿宋" w:eastAsia="仿宋" w:cs="仿宋"/>
          <w:color w:val="auto"/>
          <w:sz w:val="32"/>
        </w:rPr>
        <w:t>63.59万元，</w:t>
      </w:r>
      <w:r>
        <w:rPr>
          <w:rFonts w:ascii="仿宋_GB2312" w:hAnsi="微软雅黑" w:eastAsia="仿宋_GB2312" w:cs="仿宋_GB2312"/>
          <w:color w:val="auto"/>
          <w:sz w:val="31"/>
          <w:szCs w:val="31"/>
          <w:shd w:val="clear" w:color="auto" w:fill="FFFFFF"/>
        </w:rPr>
        <w:t>完成年初预算的</w:t>
      </w:r>
      <w:r>
        <w:rPr>
          <w:rFonts w:hint="eastAsia" w:ascii="仿宋" w:hAnsi="仿宋" w:eastAsia="仿宋" w:cs="仿宋"/>
          <w:color w:val="auto"/>
          <w:sz w:val="32"/>
          <w:szCs w:val="32"/>
        </w:rPr>
        <w:t>89.06%</w:t>
      </w:r>
      <w:r>
        <w:rPr>
          <w:rFonts w:ascii="仿宋_GB2312" w:hAnsi="微软雅黑" w:eastAsia="仿宋_GB2312" w:cs="仿宋_GB2312"/>
          <w:color w:val="auto"/>
          <w:sz w:val="31"/>
          <w:szCs w:val="31"/>
          <w:shd w:val="clear" w:color="auto" w:fill="FFFFFF"/>
        </w:rPr>
        <w:t>，</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eastAsia="zh-CN"/>
        </w:rPr>
        <w:t>根据单位业务工作开展需要支出</w:t>
      </w:r>
      <w:r>
        <w:rPr>
          <w:rFonts w:hint="eastAsia" w:ascii="仿宋" w:hAnsi="仿宋" w:eastAsia="仿宋" w:cs="仿宋"/>
          <w:color w:val="auto"/>
          <w:sz w:val="32"/>
          <w:szCs w:val="32"/>
        </w:rPr>
        <w:t>。</w:t>
      </w:r>
    </w:p>
    <w:p>
      <w:pPr>
        <w:ind w:firstLine="640" w:firstLineChars="200"/>
        <w:jc w:val="left"/>
        <w:rPr>
          <w:rFonts w:ascii="仿宋" w:hAnsi="仿宋" w:eastAsia="仿宋" w:cs="仿宋"/>
          <w:color w:val="auto"/>
          <w:sz w:val="32"/>
          <w:szCs w:val="32"/>
        </w:rPr>
      </w:pPr>
      <w:r>
        <w:rPr>
          <w:rFonts w:hint="eastAsia" w:ascii="仿宋" w:hAnsi="仿宋" w:eastAsia="仿宋"/>
          <w:color w:val="auto"/>
          <w:sz w:val="32"/>
          <w:szCs w:val="32"/>
        </w:rPr>
        <w:t>支出具体情况如下</w:t>
      </w:r>
      <w:r>
        <w:rPr>
          <w:rFonts w:hint="eastAsia" w:ascii="仿宋" w:hAnsi="仿宋" w:eastAsia="仿宋" w:cs="仿宋"/>
          <w:color w:val="auto"/>
          <w:sz w:val="32"/>
          <w:szCs w:val="32"/>
        </w:rPr>
        <w:t>：30201办公费0.28万元，30202印刷费0.05万元，30203咨询费0.00万元，30204手续费0.00万元，30205水费0.00万元，30206电费0.00万元，30207邮电费3.72万元，30208取暖费0.00万元，30209物业管理费0.00万元，30211差旅费5.14万元，30212因公出国（境）费用0.00万元，30213维修（护）费0.73万元，30214租赁费0.00万元，30215会议费0.00万元，30216培训费3.30万元，30217公务接待费0.00万元，30218专用材料费0.00万元，30224被装购置费0.00万元，30225专用燃料费0.00万元，30226劳务费0.00万元，30227委托业务费0.00万元，30228工会经费6.80万元，30229福利费0.15万元，30231公务用车运行维护费0.00万元，30239其他交通费用25.48万元，30240税金及附加费用0.00万元，30299其他商品和服务支出17.93万元。</w:t>
      </w:r>
    </w:p>
    <w:p>
      <w:pPr>
        <w:jc w:val="center"/>
        <w:rPr>
          <w:rFonts w:ascii="仿宋" w:hAnsi="仿宋" w:eastAsia="仿宋" w:cs="仿宋"/>
          <w:color w:val="auto"/>
          <w:sz w:val="32"/>
          <w:szCs w:val="32"/>
        </w:rPr>
      </w:pPr>
      <w:r>
        <w:rPr>
          <w:rFonts w:hint="eastAsia" w:ascii="仿宋" w:hAnsi="仿宋" w:eastAsia="仿宋" w:cs="仿宋"/>
          <w:color w:val="auto"/>
          <w:sz w:val="32"/>
          <w:szCs w:val="32"/>
        </w:rPr>
        <w:drawing>
          <wp:inline distT="0" distB="0" distL="114300" distR="114300">
            <wp:extent cx="4474845" cy="3215640"/>
            <wp:effectExtent l="4445" t="4445" r="16510" b="18415"/>
            <wp:docPr id="1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rPr>
          <w:rFonts w:ascii="仿宋" w:hAnsi="仿宋" w:eastAsia="仿宋" w:cs="仿宋"/>
          <w:color w:val="auto"/>
          <w:sz w:val="32"/>
          <w:szCs w:val="32"/>
        </w:rPr>
      </w:pPr>
    </w:p>
    <w:p>
      <w:pPr>
        <w:numPr>
          <w:ilvl w:val="0"/>
          <w:numId w:val="2"/>
        </w:numPr>
        <w:jc w:val="left"/>
        <w:rPr>
          <w:rFonts w:ascii="仿宋" w:hAnsi="仿宋" w:eastAsia="仿宋" w:cs="仿宋"/>
          <w:color w:val="auto"/>
          <w:sz w:val="32"/>
          <w:szCs w:val="32"/>
        </w:rPr>
      </w:pPr>
      <w:r>
        <w:rPr>
          <w:rFonts w:hint="eastAsia" w:ascii="仿宋" w:hAnsi="仿宋" w:eastAsia="仿宋" w:cs="仿宋"/>
          <w:color w:val="auto"/>
          <w:sz w:val="32"/>
          <w:szCs w:val="32"/>
        </w:rPr>
        <w:t>对个人和家庭的补助</w:t>
      </w:r>
      <w:r>
        <w:rPr>
          <w:rFonts w:ascii="仿宋" w:hAnsi="仿宋" w:eastAsia="仿宋" w:cs="仿宋"/>
          <w:color w:val="auto"/>
          <w:sz w:val="32"/>
        </w:rPr>
        <w:t>31.36万元，</w:t>
      </w:r>
      <w:r>
        <w:rPr>
          <w:rFonts w:ascii="仿宋_GB2312" w:hAnsi="微软雅黑" w:eastAsia="仿宋_GB2312" w:cs="仿宋_GB2312"/>
          <w:color w:val="auto"/>
          <w:sz w:val="31"/>
          <w:szCs w:val="31"/>
          <w:shd w:val="clear" w:color="auto" w:fill="FFFFFF"/>
        </w:rPr>
        <w:t>完成年初预算的</w:t>
      </w:r>
      <w:r>
        <w:rPr>
          <w:rFonts w:hint="eastAsia" w:ascii="仿宋" w:hAnsi="仿宋" w:eastAsia="仿宋" w:cs="仿宋"/>
          <w:color w:val="auto"/>
          <w:sz w:val="32"/>
          <w:szCs w:val="32"/>
        </w:rPr>
        <w:t>48.85%</w:t>
      </w:r>
      <w:r>
        <w:rPr>
          <w:rFonts w:ascii="仿宋_GB2312" w:hAnsi="微软雅黑" w:eastAsia="仿宋_GB2312" w:cs="仿宋_GB2312"/>
          <w:color w:val="auto"/>
          <w:sz w:val="31"/>
          <w:szCs w:val="31"/>
          <w:shd w:val="clear" w:color="auto" w:fill="FFFFFF"/>
        </w:rPr>
        <w:t>，</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eastAsia="zh-CN"/>
        </w:rPr>
        <w:t>一是年初预算的退休人员生活补助等退休经费由社保发放</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二是根据单位实际业务情况发放对个人和家庭的补助。</w:t>
      </w:r>
    </w:p>
    <w:p>
      <w:pPr>
        <w:ind w:firstLine="640" w:firstLineChars="200"/>
        <w:jc w:val="left"/>
        <w:rPr>
          <w:rFonts w:ascii="仿宋" w:hAnsi="仿宋" w:eastAsia="仿宋" w:cs="仿宋"/>
          <w:color w:val="auto"/>
          <w:sz w:val="32"/>
          <w:szCs w:val="32"/>
        </w:rPr>
      </w:pPr>
      <w:r>
        <w:rPr>
          <w:rFonts w:hint="eastAsia" w:ascii="仿宋" w:hAnsi="仿宋" w:eastAsia="仿宋"/>
          <w:color w:val="auto"/>
          <w:sz w:val="32"/>
          <w:szCs w:val="32"/>
        </w:rPr>
        <w:t>支出具体情况如下</w:t>
      </w:r>
      <w:r>
        <w:rPr>
          <w:rFonts w:hint="eastAsia" w:ascii="仿宋" w:hAnsi="仿宋" w:eastAsia="仿宋" w:cs="仿宋"/>
          <w:color w:val="auto"/>
          <w:sz w:val="32"/>
          <w:szCs w:val="32"/>
        </w:rPr>
        <w:t>：30301离休费14.72万元，30302退休费0.00万元，30303退职（役）费0.00万元，30304抚恤金0.00万元，30305生活补助1.37万元，30306救济费0.00万元，30307医疗费补助11.24万元，30308助学金0.00万元，30309奖励金0.00万元，30310个人农业生产补贴0.00万元，30311代缴社会保险费0.00万元，30399其他对个人和家庭的补助4.03万元。</w:t>
      </w:r>
    </w:p>
    <w:p>
      <w:pPr>
        <w:jc w:val="center"/>
        <w:rPr>
          <w:rFonts w:ascii="仿宋" w:hAnsi="仿宋" w:eastAsia="仿宋" w:cs="仿宋"/>
          <w:color w:val="auto"/>
          <w:sz w:val="32"/>
          <w:szCs w:val="32"/>
        </w:rPr>
      </w:pPr>
      <w:r>
        <w:rPr>
          <w:rFonts w:hint="eastAsia" w:ascii="仿宋" w:hAnsi="仿宋" w:eastAsia="仿宋" w:cs="仿宋"/>
          <w:color w:val="auto"/>
          <w:sz w:val="32"/>
          <w:szCs w:val="32"/>
        </w:rPr>
        <w:drawing>
          <wp:inline distT="0" distB="0" distL="114300" distR="114300">
            <wp:extent cx="4474845" cy="3215640"/>
            <wp:effectExtent l="4445" t="4445" r="16510" b="18415"/>
            <wp:docPr id="2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rPr>
          <w:rFonts w:ascii="仿宋" w:hAnsi="仿宋" w:eastAsia="仿宋" w:cs="仿宋"/>
          <w:color w:val="auto"/>
          <w:sz w:val="32"/>
          <w:szCs w:val="32"/>
        </w:rPr>
      </w:pPr>
    </w:p>
    <w:p>
      <w:pPr>
        <w:numPr>
          <w:ilvl w:val="0"/>
          <w:numId w:val="2"/>
        </w:numPr>
        <w:jc w:val="left"/>
        <w:rPr>
          <w:rFonts w:ascii="仿宋" w:hAnsi="仿宋" w:eastAsia="仿宋" w:cs="仿宋"/>
          <w:color w:val="auto"/>
          <w:sz w:val="32"/>
          <w:szCs w:val="32"/>
        </w:rPr>
      </w:pPr>
      <w:r>
        <w:rPr>
          <w:rFonts w:hint="eastAsia" w:ascii="仿宋" w:hAnsi="仿宋" w:eastAsia="仿宋" w:cs="仿宋"/>
          <w:color w:val="auto"/>
          <w:sz w:val="32"/>
          <w:szCs w:val="32"/>
        </w:rPr>
        <w:t>债务利息及费用支出</w:t>
      </w:r>
      <w:r>
        <w:rPr>
          <w:rFonts w:ascii="仿宋" w:hAnsi="仿宋" w:eastAsia="仿宋" w:cs="仿宋"/>
          <w:color w:val="auto"/>
          <w:sz w:val="32"/>
        </w:rPr>
        <w:t>0.00万元，</w:t>
      </w:r>
      <w:r>
        <w:rPr>
          <w:rFonts w:ascii="仿宋_GB2312" w:hAnsi="微软雅黑" w:eastAsia="仿宋_GB2312" w:cs="仿宋_GB2312"/>
          <w:color w:val="auto"/>
          <w:sz w:val="31"/>
          <w:szCs w:val="31"/>
          <w:shd w:val="clear" w:color="auto" w:fill="FFFFFF"/>
        </w:rPr>
        <w:t>完成年初预算的</w:t>
      </w:r>
      <w:r>
        <w:rPr>
          <w:rFonts w:hint="eastAsia" w:ascii="仿宋" w:hAnsi="仿宋" w:eastAsia="仿宋" w:cs="仿宋"/>
          <w:color w:val="auto"/>
          <w:sz w:val="32"/>
          <w:szCs w:val="32"/>
        </w:rPr>
        <w:t>0%</w:t>
      </w:r>
      <w:r>
        <w:rPr>
          <w:rFonts w:ascii="仿宋_GB2312" w:hAnsi="微软雅黑" w:eastAsia="仿宋_GB2312" w:cs="仿宋_GB2312"/>
          <w:color w:val="auto"/>
          <w:sz w:val="31"/>
          <w:szCs w:val="31"/>
          <w:shd w:val="clear" w:color="auto" w:fill="FFFFFF"/>
        </w:rPr>
        <w:t>，</w:t>
      </w:r>
      <w:r>
        <w:rPr>
          <w:rFonts w:hint="eastAsia" w:ascii="仿宋" w:hAnsi="仿宋" w:eastAsia="仿宋" w:cs="仿宋"/>
          <w:color w:val="auto"/>
          <w:sz w:val="32"/>
          <w:szCs w:val="32"/>
        </w:rPr>
        <w:t>（简要说明预决算差异）主要原因是：</w:t>
      </w:r>
      <w:r>
        <w:rPr>
          <w:rFonts w:hint="eastAsia" w:ascii="仿宋" w:hAnsi="仿宋" w:eastAsia="仿宋" w:cs="仿宋"/>
          <w:color w:val="auto"/>
          <w:sz w:val="32"/>
          <w:szCs w:val="32"/>
          <w:lang w:eastAsia="zh-CN"/>
        </w:rPr>
        <w:t>单位无债务利息及费用支出</w:t>
      </w:r>
      <w:r>
        <w:rPr>
          <w:rFonts w:hint="eastAsia" w:ascii="仿宋" w:hAnsi="仿宋" w:eastAsia="仿宋" w:cs="仿宋"/>
          <w:color w:val="auto"/>
          <w:sz w:val="32"/>
          <w:szCs w:val="32"/>
        </w:rPr>
        <w:t>。</w:t>
      </w:r>
    </w:p>
    <w:p>
      <w:pPr>
        <w:jc w:val="left"/>
        <w:rPr>
          <w:rFonts w:ascii="仿宋" w:hAnsi="仿宋" w:eastAsia="仿宋" w:cs="仿宋"/>
          <w:color w:val="auto"/>
          <w:sz w:val="32"/>
          <w:szCs w:val="32"/>
        </w:rPr>
      </w:pPr>
      <w:r>
        <w:rPr>
          <w:rFonts w:hint="eastAsia" w:ascii="仿宋" w:hAnsi="仿宋" w:eastAsia="仿宋"/>
          <w:color w:val="auto"/>
          <w:sz w:val="32"/>
          <w:szCs w:val="32"/>
        </w:rPr>
        <w:t>支出具体情况如下</w:t>
      </w:r>
      <w:r>
        <w:rPr>
          <w:rFonts w:hint="eastAsia" w:ascii="仿宋" w:hAnsi="仿宋" w:eastAsia="仿宋" w:cs="仿宋"/>
          <w:color w:val="auto"/>
          <w:sz w:val="32"/>
          <w:szCs w:val="32"/>
        </w:rPr>
        <w:t>：30701国内债务付息0.00万元，30702国外债务付息0.00万元。</w:t>
      </w:r>
    </w:p>
    <w:p>
      <w:pPr>
        <w:jc w:val="center"/>
        <w:rPr>
          <w:rFonts w:ascii="仿宋" w:hAnsi="仿宋" w:eastAsia="仿宋" w:cs="仿宋"/>
          <w:color w:val="auto"/>
          <w:sz w:val="32"/>
          <w:szCs w:val="32"/>
        </w:rPr>
      </w:pPr>
      <w:r>
        <w:rPr>
          <w:rFonts w:hint="eastAsia" w:ascii="仿宋" w:hAnsi="仿宋" w:eastAsia="仿宋" w:cs="仿宋"/>
          <w:color w:val="auto"/>
          <w:sz w:val="32"/>
          <w:szCs w:val="32"/>
        </w:rPr>
        <w:drawing>
          <wp:inline distT="0" distB="0" distL="114300" distR="114300">
            <wp:extent cx="4474845" cy="3215640"/>
            <wp:effectExtent l="4445" t="4445" r="16510" b="18415"/>
            <wp:docPr id="2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rPr>
          <w:rFonts w:ascii="仿宋" w:hAnsi="仿宋" w:eastAsia="仿宋" w:cs="仿宋"/>
          <w:color w:val="auto"/>
          <w:sz w:val="32"/>
          <w:szCs w:val="32"/>
        </w:rPr>
      </w:pPr>
    </w:p>
    <w:p>
      <w:pPr>
        <w:numPr>
          <w:ilvl w:val="0"/>
          <w:numId w:val="2"/>
        </w:numPr>
        <w:jc w:val="left"/>
        <w:rPr>
          <w:rFonts w:ascii="仿宋" w:hAnsi="仿宋" w:eastAsia="仿宋" w:cs="仿宋"/>
          <w:color w:val="auto"/>
          <w:sz w:val="32"/>
          <w:szCs w:val="32"/>
        </w:rPr>
      </w:pPr>
      <w:r>
        <w:rPr>
          <w:rFonts w:hint="eastAsia" w:ascii="仿宋" w:hAnsi="仿宋" w:eastAsia="仿宋" w:cs="仿宋"/>
          <w:color w:val="auto"/>
          <w:sz w:val="32"/>
          <w:szCs w:val="32"/>
        </w:rPr>
        <w:t>资本性支出</w:t>
      </w:r>
      <w:r>
        <w:rPr>
          <w:rFonts w:ascii="仿宋" w:hAnsi="仿宋" w:eastAsia="仿宋" w:cs="仿宋"/>
          <w:color w:val="auto"/>
          <w:sz w:val="32"/>
        </w:rPr>
        <w:t>0.00万元，</w:t>
      </w:r>
      <w:r>
        <w:rPr>
          <w:rFonts w:ascii="仿宋_GB2312" w:hAnsi="微软雅黑" w:eastAsia="仿宋_GB2312" w:cs="仿宋_GB2312"/>
          <w:color w:val="auto"/>
          <w:sz w:val="31"/>
          <w:szCs w:val="31"/>
          <w:shd w:val="clear" w:color="auto" w:fill="FFFFFF"/>
        </w:rPr>
        <w:t>完成年初预算的</w:t>
      </w:r>
      <w:r>
        <w:rPr>
          <w:rFonts w:hint="eastAsia" w:ascii="仿宋" w:hAnsi="仿宋" w:eastAsia="仿宋" w:cs="仿宋"/>
          <w:color w:val="auto"/>
          <w:sz w:val="32"/>
          <w:szCs w:val="32"/>
        </w:rPr>
        <w:t>0%</w:t>
      </w:r>
      <w:r>
        <w:rPr>
          <w:rFonts w:ascii="仿宋_GB2312" w:hAnsi="微软雅黑" w:eastAsia="仿宋_GB2312" w:cs="仿宋_GB2312"/>
          <w:color w:val="auto"/>
          <w:sz w:val="31"/>
          <w:szCs w:val="31"/>
          <w:shd w:val="clear" w:color="auto" w:fill="FFFFFF"/>
        </w:rPr>
        <w:t>，</w:t>
      </w:r>
      <w:r>
        <w:rPr>
          <w:rFonts w:hint="eastAsia" w:ascii="仿宋" w:hAnsi="仿宋" w:eastAsia="仿宋" w:cs="仿宋"/>
          <w:color w:val="auto"/>
          <w:sz w:val="32"/>
          <w:szCs w:val="32"/>
        </w:rPr>
        <w:t>（简要说明预决算差异）主要原因是：</w:t>
      </w:r>
      <w:r>
        <w:rPr>
          <w:rFonts w:hint="eastAsia" w:ascii="仿宋" w:hAnsi="仿宋" w:eastAsia="仿宋" w:cs="仿宋"/>
          <w:color w:val="auto"/>
          <w:sz w:val="32"/>
          <w:szCs w:val="32"/>
          <w:lang w:eastAsia="zh-CN"/>
        </w:rPr>
        <w:t>单位基本支出无资本性支出</w:t>
      </w:r>
      <w:r>
        <w:rPr>
          <w:rFonts w:hint="eastAsia" w:ascii="仿宋" w:hAnsi="仿宋" w:eastAsia="仿宋" w:cs="仿宋"/>
          <w:color w:val="auto"/>
          <w:sz w:val="32"/>
          <w:szCs w:val="32"/>
        </w:rPr>
        <w:t>。</w:t>
      </w:r>
    </w:p>
    <w:p>
      <w:pPr>
        <w:jc w:val="left"/>
        <w:rPr>
          <w:rFonts w:ascii="仿宋" w:hAnsi="仿宋" w:eastAsia="仿宋" w:cs="仿宋"/>
          <w:color w:val="auto"/>
          <w:sz w:val="32"/>
          <w:szCs w:val="32"/>
        </w:rPr>
      </w:pPr>
      <w:r>
        <w:rPr>
          <w:rFonts w:hint="eastAsia" w:ascii="仿宋" w:hAnsi="仿宋" w:eastAsia="仿宋"/>
          <w:color w:val="auto"/>
          <w:sz w:val="32"/>
          <w:szCs w:val="32"/>
        </w:rPr>
        <w:t>支出具体情况如下</w:t>
      </w:r>
      <w:r>
        <w:rPr>
          <w:rFonts w:hint="eastAsia" w:ascii="仿宋" w:hAnsi="仿宋" w:eastAsia="仿宋" w:cs="仿宋"/>
          <w:color w:val="auto"/>
          <w:sz w:val="32"/>
          <w:szCs w:val="32"/>
        </w:rPr>
        <w:t>：31001房屋建筑物购建0.00万元，31002办公设备购置0.00万元，31003专用设备购置0.00万元，31005基础设施建设0.00万元，31006大型修缮0.00万元，31007信息网络及软件购置更新0.00万元，31008物资储备0.00万元，31009土地补偿0.00万元，31010安置补助0.00万元，31011地上附着物和青苗补偿0.00万元，31012拆迁补偿0.00万元，31013公务用车购置0.00万元，31019其他交通工具购置0.00万元，31021文物和陈列品购置0.00万元，31022无形资产购置0.00万元，31099其他资本性支出0.00万元。</w:t>
      </w:r>
    </w:p>
    <w:p>
      <w:pPr>
        <w:jc w:val="center"/>
        <w:rPr>
          <w:rFonts w:ascii="仿宋" w:hAnsi="仿宋" w:eastAsia="仿宋" w:cs="仿宋"/>
          <w:color w:val="auto"/>
          <w:sz w:val="32"/>
          <w:szCs w:val="32"/>
        </w:rPr>
      </w:pPr>
      <w:r>
        <w:rPr>
          <w:rFonts w:hint="eastAsia" w:ascii="仿宋" w:hAnsi="仿宋" w:eastAsia="仿宋" w:cs="仿宋"/>
          <w:color w:val="auto"/>
          <w:sz w:val="32"/>
          <w:szCs w:val="32"/>
        </w:rPr>
        <w:drawing>
          <wp:inline distT="0" distB="0" distL="114300" distR="114300">
            <wp:extent cx="4474845" cy="3215640"/>
            <wp:effectExtent l="4445" t="4445" r="16510" b="18415"/>
            <wp:docPr id="2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rPr>
          <w:rFonts w:ascii="仿宋" w:hAnsi="仿宋" w:eastAsia="仿宋" w:cs="仿宋"/>
          <w:color w:val="auto"/>
          <w:sz w:val="32"/>
          <w:szCs w:val="32"/>
        </w:rPr>
      </w:pPr>
    </w:p>
    <w:p>
      <w:pPr>
        <w:numPr>
          <w:ilvl w:val="0"/>
          <w:numId w:val="2"/>
        </w:numPr>
        <w:jc w:val="left"/>
        <w:rPr>
          <w:rFonts w:ascii="仿宋" w:hAnsi="仿宋" w:eastAsia="仿宋" w:cs="仿宋"/>
          <w:color w:val="auto"/>
          <w:sz w:val="32"/>
          <w:szCs w:val="32"/>
        </w:rPr>
      </w:pPr>
      <w:r>
        <w:rPr>
          <w:rFonts w:hint="eastAsia" w:ascii="仿宋" w:hAnsi="仿宋" w:eastAsia="仿宋" w:cs="仿宋"/>
          <w:color w:val="auto"/>
          <w:sz w:val="32"/>
          <w:szCs w:val="32"/>
        </w:rPr>
        <w:t>其他支出</w:t>
      </w:r>
      <w:r>
        <w:rPr>
          <w:rFonts w:ascii="仿宋" w:hAnsi="仿宋" w:eastAsia="仿宋" w:cs="仿宋"/>
          <w:color w:val="auto"/>
          <w:sz w:val="32"/>
        </w:rPr>
        <w:t>0.00万元，</w:t>
      </w:r>
      <w:r>
        <w:rPr>
          <w:rFonts w:ascii="仿宋_GB2312" w:hAnsi="微软雅黑" w:eastAsia="仿宋_GB2312" w:cs="仿宋_GB2312"/>
          <w:color w:val="auto"/>
          <w:sz w:val="31"/>
          <w:szCs w:val="31"/>
          <w:shd w:val="clear" w:color="auto" w:fill="FFFFFF"/>
        </w:rPr>
        <w:t>完成年初预算的</w:t>
      </w:r>
      <w:r>
        <w:rPr>
          <w:rFonts w:hint="eastAsia" w:ascii="仿宋" w:hAnsi="仿宋" w:eastAsia="仿宋" w:cs="仿宋"/>
          <w:color w:val="auto"/>
          <w:sz w:val="32"/>
          <w:szCs w:val="32"/>
        </w:rPr>
        <w:t>0%</w:t>
      </w:r>
      <w:r>
        <w:rPr>
          <w:rFonts w:ascii="仿宋_GB2312" w:hAnsi="微软雅黑" w:eastAsia="仿宋_GB2312" w:cs="仿宋_GB2312"/>
          <w:color w:val="auto"/>
          <w:sz w:val="31"/>
          <w:szCs w:val="31"/>
          <w:shd w:val="clear" w:color="auto" w:fill="FFFFFF"/>
        </w:rPr>
        <w:t>，</w:t>
      </w:r>
      <w:r>
        <w:rPr>
          <w:rFonts w:hint="eastAsia" w:ascii="仿宋" w:hAnsi="仿宋" w:eastAsia="仿宋" w:cs="仿宋"/>
          <w:color w:val="auto"/>
          <w:sz w:val="32"/>
          <w:szCs w:val="32"/>
        </w:rPr>
        <w:t>（简要说明预决算差异）主要原因是：</w:t>
      </w:r>
      <w:r>
        <w:rPr>
          <w:rFonts w:hint="eastAsia" w:ascii="仿宋" w:hAnsi="仿宋" w:eastAsia="仿宋" w:cs="仿宋"/>
          <w:color w:val="auto"/>
          <w:sz w:val="32"/>
          <w:szCs w:val="32"/>
          <w:lang w:eastAsia="zh-CN"/>
        </w:rPr>
        <w:t>单位无其他支出</w:t>
      </w:r>
      <w:r>
        <w:rPr>
          <w:rFonts w:hint="eastAsia" w:ascii="仿宋" w:hAnsi="仿宋" w:eastAsia="仿宋" w:cs="仿宋"/>
          <w:color w:val="auto"/>
          <w:sz w:val="32"/>
          <w:szCs w:val="32"/>
        </w:rPr>
        <w:t>。</w:t>
      </w:r>
    </w:p>
    <w:p>
      <w:pPr>
        <w:jc w:val="left"/>
        <w:rPr>
          <w:rFonts w:ascii="仿宋" w:hAnsi="仿宋" w:eastAsia="仿宋" w:cs="仿宋"/>
          <w:color w:val="auto"/>
          <w:sz w:val="32"/>
          <w:szCs w:val="32"/>
        </w:rPr>
      </w:pPr>
      <w:r>
        <w:rPr>
          <w:rFonts w:hint="eastAsia" w:ascii="仿宋" w:hAnsi="仿宋" w:eastAsia="仿宋"/>
          <w:color w:val="auto"/>
          <w:sz w:val="32"/>
          <w:szCs w:val="32"/>
        </w:rPr>
        <w:t>支出具体情况如下</w:t>
      </w:r>
      <w:r>
        <w:rPr>
          <w:rFonts w:hint="eastAsia" w:ascii="仿宋" w:hAnsi="仿宋" w:eastAsia="仿宋" w:cs="仿宋"/>
          <w:color w:val="auto"/>
          <w:sz w:val="32"/>
          <w:szCs w:val="32"/>
        </w:rPr>
        <w:t>：39907国家赔偿费用支出0.00万元，39908对民间非营利组织和群众性自治组织补贴0.00万元，39909经常性赠与0.00万元，39910资本性赠与0.00万元，39999其他支出0.00万元。</w:t>
      </w:r>
    </w:p>
    <w:p>
      <w:pPr>
        <w:jc w:val="center"/>
        <w:rPr>
          <w:rFonts w:ascii="仿宋" w:hAnsi="仿宋" w:eastAsia="仿宋" w:cs="仿宋"/>
          <w:color w:val="auto"/>
          <w:sz w:val="32"/>
          <w:szCs w:val="32"/>
        </w:rPr>
      </w:pPr>
      <w:r>
        <w:rPr>
          <w:rFonts w:hint="eastAsia" w:ascii="仿宋" w:hAnsi="仿宋" w:eastAsia="仿宋" w:cs="仿宋"/>
          <w:color w:val="auto"/>
          <w:sz w:val="32"/>
          <w:szCs w:val="32"/>
        </w:rPr>
        <w:drawing>
          <wp:inline distT="0" distB="0" distL="114300" distR="114300">
            <wp:extent cx="4474845" cy="3215640"/>
            <wp:effectExtent l="4445" t="4445" r="16510" b="18415"/>
            <wp:docPr id="2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pPr>
        <w:rPr>
          <w:rFonts w:ascii="仿宋" w:hAnsi="仿宋" w:eastAsia="仿宋" w:cs="仿宋"/>
          <w:color w:val="auto"/>
          <w:sz w:val="32"/>
          <w:szCs w:val="32"/>
        </w:rPr>
      </w:pPr>
    </w:p>
    <w:p>
      <w:pPr>
        <w:jc w:val="left"/>
        <w:rPr>
          <w:rFonts w:ascii="仿宋" w:hAnsi="仿宋" w:eastAsia="仿宋" w:cs="仿宋"/>
          <w:color w:val="auto"/>
          <w:sz w:val="32"/>
          <w:szCs w:val="32"/>
        </w:rPr>
      </w:pPr>
    </w:p>
    <w:p>
      <w:pPr>
        <w:jc w:val="left"/>
        <w:rPr>
          <w:rFonts w:ascii="黑体" w:hAnsi="黑体" w:eastAsia="黑体" w:cs="黑体"/>
          <w:color w:val="auto"/>
          <w:sz w:val="32"/>
          <w:szCs w:val="32"/>
        </w:rPr>
      </w:pPr>
      <w:r>
        <w:rPr>
          <w:rFonts w:hint="eastAsia" w:ascii="黑体" w:hAnsi="黑体" w:eastAsia="黑体" w:cs="黑体"/>
          <w:color w:val="auto"/>
          <w:sz w:val="32"/>
          <w:szCs w:val="32"/>
        </w:rPr>
        <w:t>四、2022年度政府性基金支出决算情况</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河池市农业机械化服务中心2022年度政府性基金支出</w:t>
      </w:r>
      <w:r>
        <w:rPr>
          <w:rFonts w:ascii="仿宋" w:hAnsi="仿宋" w:eastAsia="仿宋" w:cs="仿宋"/>
          <w:color w:val="auto"/>
          <w:sz w:val="32"/>
          <w:szCs w:val="32"/>
        </w:rPr>
        <w:t>0.00</w:t>
      </w:r>
      <w:r>
        <w:rPr>
          <w:rFonts w:hint="eastAsia" w:ascii="仿宋" w:hAnsi="仿宋" w:eastAsia="仿宋" w:cs="仿宋"/>
          <w:color w:val="auto"/>
          <w:sz w:val="32"/>
          <w:szCs w:val="32"/>
        </w:rPr>
        <w:t>万元，较2021年度决算数</w:t>
      </w:r>
      <w:r>
        <w:rPr>
          <w:rFonts w:ascii="仿宋" w:hAnsi="仿宋" w:eastAsia="仿宋" w:cs="仿宋"/>
          <w:color w:val="auto"/>
          <w:sz w:val="32"/>
          <w:szCs w:val="32"/>
        </w:rPr>
        <w:t>增加0.00</w:t>
      </w:r>
      <w:r>
        <w:rPr>
          <w:rFonts w:hint="eastAsia" w:ascii="仿宋" w:hAnsi="仿宋" w:eastAsia="仿宋" w:cs="仿宋"/>
          <w:color w:val="auto"/>
          <w:sz w:val="32"/>
          <w:szCs w:val="32"/>
        </w:rPr>
        <w:t>万元，</w:t>
      </w:r>
      <w:r>
        <w:rPr>
          <w:rFonts w:ascii="仿宋" w:hAnsi="仿宋" w:eastAsia="仿宋" w:cs="仿宋"/>
          <w:color w:val="auto"/>
          <w:sz w:val="32"/>
          <w:szCs w:val="32"/>
        </w:rPr>
        <w:t>增长0%</w:t>
      </w:r>
      <w:r>
        <w:rPr>
          <w:rFonts w:hint="eastAsia" w:ascii="仿宋" w:hAnsi="仿宋" w:eastAsia="仿宋" w:cs="仿宋"/>
          <w:color w:val="auto"/>
          <w:sz w:val="32"/>
          <w:szCs w:val="32"/>
        </w:rPr>
        <w:t>其中：基本支出</w:t>
      </w:r>
      <w:r>
        <w:rPr>
          <w:rFonts w:ascii="仿宋" w:hAnsi="仿宋" w:eastAsia="仿宋" w:cs="仿宋"/>
          <w:color w:val="auto"/>
          <w:sz w:val="32"/>
          <w:szCs w:val="32"/>
        </w:rPr>
        <w:t>0.00</w:t>
      </w:r>
      <w:r>
        <w:rPr>
          <w:rFonts w:hint="eastAsia" w:ascii="仿宋" w:hAnsi="仿宋" w:eastAsia="仿宋" w:cs="仿宋"/>
          <w:color w:val="auto"/>
          <w:sz w:val="32"/>
          <w:szCs w:val="32"/>
        </w:rPr>
        <w:t>万元，项目支出</w:t>
      </w:r>
      <w:r>
        <w:rPr>
          <w:rFonts w:ascii="仿宋" w:hAnsi="仿宋" w:eastAsia="仿宋" w:cs="仿宋"/>
          <w:color w:val="auto"/>
          <w:sz w:val="32"/>
          <w:szCs w:val="32"/>
        </w:rPr>
        <w:t>0.00</w:t>
      </w:r>
      <w:r>
        <w:rPr>
          <w:rFonts w:hint="eastAsia" w:ascii="仿宋" w:hAnsi="仿宋" w:eastAsia="仿宋" w:cs="仿宋"/>
          <w:color w:val="auto"/>
          <w:sz w:val="32"/>
          <w:szCs w:val="32"/>
        </w:rPr>
        <w:t>万元。</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河池市农业机械化服务中心2022年度政府性基金支出年初预算为</w:t>
      </w:r>
      <w:r>
        <w:rPr>
          <w:rFonts w:ascii="仿宋" w:hAnsi="仿宋" w:eastAsia="仿宋" w:cs="仿宋"/>
          <w:color w:val="auto"/>
          <w:sz w:val="32"/>
          <w:szCs w:val="32"/>
        </w:rPr>
        <w:t>0.00</w:t>
      </w:r>
      <w:r>
        <w:rPr>
          <w:rFonts w:hint="eastAsia" w:ascii="仿宋" w:hAnsi="仿宋" w:eastAsia="仿宋" w:cs="仿宋"/>
          <w:color w:val="auto"/>
          <w:sz w:val="32"/>
          <w:szCs w:val="32"/>
        </w:rPr>
        <w:t>万元，支出决算为</w:t>
      </w:r>
      <w:r>
        <w:rPr>
          <w:rFonts w:ascii="仿宋" w:hAnsi="仿宋" w:eastAsia="仿宋" w:cs="仿宋"/>
          <w:color w:val="auto"/>
          <w:sz w:val="32"/>
          <w:szCs w:val="32"/>
        </w:rPr>
        <w:t>0.00</w:t>
      </w:r>
      <w:r>
        <w:rPr>
          <w:rFonts w:hint="eastAsia" w:ascii="仿宋" w:hAnsi="仿宋" w:eastAsia="仿宋" w:cs="仿宋"/>
          <w:color w:val="auto"/>
          <w:sz w:val="32"/>
          <w:szCs w:val="32"/>
        </w:rPr>
        <w:t>万元，完成年初预算的</w:t>
      </w:r>
      <w:r>
        <w:rPr>
          <w:rFonts w:ascii="仿宋" w:hAnsi="仿宋" w:eastAsia="仿宋" w:cs="仿宋"/>
          <w:color w:val="auto"/>
          <w:sz w:val="32"/>
          <w:szCs w:val="32"/>
        </w:rPr>
        <w:t>0%</w:t>
      </w:r>
      <w:r>
        <w:rPr>
          <w:rFonts w:hint="eastAsia" w:ascii="仿宋" w:hAnsi="仿宋" w:eastAsia="仿宋" w:cs="仿宋"/>
          <w:color w:val="auto"/>
          <w:sz w:val="32"/>
          <w:szCs w:val="32"/>
        </w:rPr>
        <w:t>。</w:t>
      </w:r>
    </w:p>
    <w:p>
      <w:pPr>
        <w:jc w:val="left"/>
        <w:rPr>
          <w:rFonts w:ascii="仿宋" w:hAnsi="仿宋" w:eastAsia="仿宋" w:cs="仿宋"/>
          <w:color w:val="auto"/>
          <w:sz w:val="32"/>
          <w:szCs w:val="32"/>
        </w:rPr>
      </w:pPr>
      <w:r>
        <w:rPr>
          <w:rFonts w:hint="eastAsia" w:ascii="黑体" w:hAnsi="黑体" w:eastAsia="黑体" w:cs="黑体"/>
          <w:color w:val="auto"/>
          <w:sz w:val="32"/>
          <w:szCs w:val="32"/>
        </w:rPr>
        <w:t>五、2022年度国有资本经营预算支出决算情况</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河池市农业机械化服务中心2022年度国有资本经营预算支出</w:t>
      </w:r>
      <w:r>
        <w:rPr>
          <w:rFonts w:ascii="仿宋" w:hAnsi="仿宋" w:eastAsia="仿宋" w:cs="仿宋"/>
          <w:color w:val="auto"/>
          <w:sz w:val="32"/>
          <w:szCs w:val="32"/>
        </w:rPr>
        <w:t>0.00</w:t>
      </w:r>
      <w:r>
        <w:rPr>
          <w:rFonts w:hint="eastAsia" w:ascii="仿宋" w:hAnsi="仿宋" w:eastAsia="仿宋" w:cs="仿宋"/>
          <w:color w:val="auto"/>
          <w:sz w:val="32"/>
          <w:szCs w:val="32"/>
        </w:rPr>
        <w:t>万元。其中：基本支出</w:t>
      </w:r>
      <w:r>
        <w:rPr>
          <w:rFonts w:ascii="仿宋" w:hAnsi="仿宋" w:eastAsia="仿宋" w:cs="仿宋"/>
          <w:color w:val="auto"/>
          <w:sz w:val="32"/>
          <w:szCs w:val="32"/>
        </w:rPr>
        <w:t>0.00</w:t>
      </w:r>
      <w:r>
        <w:rPr>
          <w:rFonts w:hint="eastAsia" w:ascii="仿宋" w:hAnsi="仿宋" w:eastAsia="仿宋" w:cs="仿宋"/>
          <w:color w:val="auto"/>
          <w:sz w:val="32"/>
          <w:szCs w:val="32"/>
        </w:rPr>
        <w:t>万元，项目支出</w:t>
      </w:r>
      <w:r>
        <w:rPr>
          <w:rFonts w:ascii="仿宋" w:hAnsi="仿宋" w:eastAsia="仿宋" w:cs="仿宋"/>
          <w:color w:val="auto"/>
          <w:sz w:val="32"/>
          <w:szCs w:val="32"/>
        </w:rPr>
        <w:t>0.00</w:t>
      </w:r>
      <w:r>
        <w:rPr>
          <w:rFonts w:hint="eastAsia" w:ascii="仿宋" w:hAnsi="仿宋" w:eastAsia="仿宋" w:cs="仿宋"/>
          <w:color w:val="auto"/>
          <w:sz w:val="32"/>
          <w:szCs w:val="32"/>
        </w:rPr>
        <w:t>万元。</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河池市农业机械化服务中心2022 年度国有资本经营预算支出年初预算为</w:t>
      </w:r>
      <w:r>
        <w:rPr>
          <w:rFonts w:ascii="仿宋" w:hAnsi="仿宋" w:eastAsia="仿宋" w:cs="仿宋"/>
          <w:color w:val="auto"/>
          <w:sz w:val="32"/>
          <w:szCs w:val="32"/>
        </w:rPr>
        <w:t>0.00</w:t>
      </w:r>
      <w:r>
        <w:rPr>
          <w:rFonts w:hint="eastAsia" w:ascii="仿宋" w:hAnsi="仿宋" w:eastAsia="仿宋" w:cs="仿宋"/>
          <w:color w:val="auto"/>
          <w:sz w:val="32"/>
          <w:szCs w:val="32"/>
        </w:rPr>
        <w:t>万元，支出决算为</w:t>
      </w:r>
      <w:r>
        <w:rPr>
          <w:rFonts w:ascii="仿宋" w:hAnsi="仿宋" w:eastAsia="仿宋" w:cs="仿宋"/>
          <w:color w:val="auto"/>
          <w:sz w:val="32"/>
          <w:szCs w:val="32"/>
        </w:rPr>
        <w:t>0.00</w:t>
      </w:r>
      <w:r>
        <w:rPr>
          <w:rFonts w:hint="eastAsia" w:ascii="仿宋" w:hAnsi="仿宋" w:eastAsia="仿宋" w:cs="仿宋"/>
          <w:color w:val="auto"/>
          <w:sz w:val="32"/>
          <w:szCs w:val="32"/>
        </w:rPr>
        <w:t>万元，完成年初预算的</w:t>
      </w:r>
      <w:r>
        <w:rPr>
          <w:rFonts w:ascii="仿宋" w:hAnsi="仿宋" w:eastAsia="仿宋" w:cs="仿宋"/>
          <w:color w:val="auto"/>
          <w:sz w:val="32"/>
          <w:szCs w:val="32"/>
        </w:rPr>
        <w:t>0%</w:t>
      </w:r>
      <w:r>
        <w:rPr>
          <w:rFonts w:hint="eastAsia" w:ascii="仿宋" w:hAnsi="仿宋" w:eastAsia="仿宋" w:cs="仿宋"/>
          <w:color w:val="auto"/>
          <w:sz w:val="32"/>
          <w:szCs w:val="32"/>
        </w:rPr>
        <w:t>。</w:t>
      </w:r>
    </w:p>
    <w:p>
      <w:pPr>
        <w:jc w:val="left"/>
        <w:rPr>
          <w:rFonts w:ascii="仿宋" w:hAnsi="仿宋" w:eastAsia="仿宋" w:cs="仿宋"/>
          <w:color w:val="auto"/>
          <w:sz w:val="32"/>
          <w:szCs w:val="32"/>
        </w:rPr>
      </w:pPr>
      <w:r>
        <w:rPr>
          <w:rFonts w:hint="eastAsia" w:ascii="黑体" w:hAnsi="黑体" w:eastAsia="黑体" w:cs="黑体"/>
          <w:color w:val="auto"/>
          <w:sz w:val="32"/>
          <w:szCs w:val="32"/>
        </w:rPr>
        <w:t>六、一般公共预算财政拨款安排的“三公”经费支出决算情况说明</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2022年度一般公共预算财政拨款安排的“三公”经费支出</w:t>
      </w:r>
      <w:r>
        <w:rPr>
          <w:rFonts w:ascii="仿宋" w:hAnsi="仿宋" w:eastAsia="仿宋" w:cs="仿宋"/>
          <w:color w:val="auto"/>
          <w:sz w:val="32"/>
          <w:szCs w:val="32"/>
        </w:rPr>
        <w:t>0.89</w:t>
      </w:r>
      <w:r>
        <w:rPr>
          <w:rFonts w:hint="eastAsia" w:ascii="仿宋" w:hAnsi="仿宋" w:eastAsia="仿宋" w:cs="仿宋"/>
          <w:color w:val="auto"/>
          <w:sz w:val="32"/>
          <w:szCs w:val="32"/>
        </w:rPr>
        <w:t>万元，完成年初预算的</w:t>
      </w:r>
      <w:r>
        <w:rPr>
          <w:rFonts w:ascii="仿宋" w:hAnsi="仿宋" w:eastAsia="仿宋" w:cs="仿宋"/>
          <w:color w:val="auto"/>
          <w:sz w:val="32"/>
          <w:szCs w:val="32"/>
        </w:rPr>
        <w:t>100.00%</w:t>
      </w:r>
      <w:r>
        <w:rPr>
          <w:rFonts w:hint="eastAsia" w:ascii="仿宋" w:hAnsi="仿宋" w:eastAsia="仿宋" w:cs="仿宋"/>
          <w:color w:val="auto"/>
          <w:sz w:val="32"/>
          <w:szCs w:val="32"/>
        </w:rPr>
        <w:t>，比上年</w:t>
      </w:r>
      <w:r>
        <w:rPr>
          <w:rFonts w:ascii="仿宋" w:hAnsi="仿宋" w:eastAsia="仿宋" w:cs="仿宋"/>
          <w:color w:val="auto"/>
          <w:sz w:val="32"/>
          <w:szCs w:val="32"/>
        </w:rPr>
        <w:t>减少0.77</w:t>
      </w:r>
      <w:r>
        <w:rPr>
          <w:rFonts w:hint="eastAsia" w:ascii="仿宋" w:hAnsi="仿宋" w:eastAsia="仿宋" w:cs="仿宋"/>
          <w:color w:val="auto"/>
          <w:sz w:val="32"/>
          <w:szCs w:val="32"/>
        </w:rPr>
        <w:t>万元，主要原因是：</w:t>
      </w:r>
      <w:r>
        <w:rPr>
          <w:rFonts w:hint="eastAsia" w:ascii="仿宋" w:hAnsi="仿宋" w:eastAsia="仿宋" w:cs="仿宋"/>
          <w:color w:val="auto"/>
          <w:sz w:val="32"/>
          <w:szCs w:val="32"/>
          <w:lang w:eastAsia="zh-CN"/>
        </w:rPr>
        <w:t>单位依据财政文件要求加强“三公经费”管理，严控一般性支出</w:t>
      </w:r>
      <w:r>
        <w:rPr>
          <w:rFonts w:hint="eastAsia" w:ascii="仿宋" w:hAnsi="仿宋" w:eastAsia="仿宋" w:cs="仿宋"/>
          <w:color w:val="auto"/>
          <w:sz w:val="32"/>
          <w:szCs w:val="32"/>
        </w:rPr>
        <w:t>。其中：因公出国（境）费支出决算</w:t>
      </w:r>
      <w:r>
        <w:rPr>
          <w:rFonts w:ascii="仿宋" w:hAnsi="仿宋" w:eastAsia="仿宋" w:cs="仿宋"/>
          <w:color w:val="auto"/>
          <w:sz w:val="32"/>
          <w:szCs w:val="32"/>
        </w:rPr>
        <w:t>0.00</w:t>
      </w:r>
      <w:r>
        <w:rPr>
          <w:rFonts w:hint="eastAsia" w:ascii="仿宋" w:hAnsi="仿宋" w:eastAsia="仿宋" w:cs="仿宋"/>
          <w:color w:val="auto"/>
          <w:sz w:val="32"/>
          <w:szCs w:val="32"/>
        </w:rPr>
        <w:t>万元，公务用车购置及运行费支出决算</w:t>
      </w:r>
      <w:r>
        <w:rPr>
          <w:rFonts w:ascii="仿宋" w:hAnsi="仿宋" w:eastAsia="仿宋" w:cs="仿宋"/>
          <w:color w:val="auto"/>
          <w:sz w:val="32"/>
          <w:szCs w:val="32"/>
        </w:rPr>
        <w:t>0.00</w:t>
      </w:r>
      <w:r>
        <w:rPr>
          <w:rFonts w:hint="eastAsia" w:ascii="仿宋" w:hAnsi="仿宋" w:eastAsia="仿宋" w:cs="仿宋"/>
          <w:color w:val="auto"/>
          <w:sz w:val="32"/>
          <w:szCs w:val="32"/>
        </w:rPr>
        <w:t>万元，公务接待费支出决算</w:t>
      </w:r>
      <w:r>
        <w:rPr>
          <w:rFonts w:ascii="仿宋" w:hAnsi="仿宋" w:eastAsia="仿宋" w:cs="仿宋"/>
          <w:color w:val="auto"/>
          <w:sz w:val="32"/>
          <w:szCs w:val="32"/>
        </w:rPr>
        <w:t>0.89</w:t>
      </w:r>
      <w:r>
        <w:rPr>
          <w:rFonts w:hint="eastAsia" w:ascii="仿宋" w:hAnsi="仿宋" w:eastAsia="仿宋" w:cs="仿宋"/>
          <w:color w:val="auto"/>
          <w:sz w:val="32"/>
          <w:szCs w:val="32"/>
        </w:rPr>
        <w:t>万元。</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具体情况如下：</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（一）因公出国（境）费支出</w:t>
      </w:r>
      <w:r>
        <w:rPr>
          <w:rFonts w:ascii="仿宋" w:hAnsi="仿宋" w:eastAsia="仿宋" w:cs="仿宋"/>
          <w:color w:val="auto"/>
          <w:sz w:val="32"/>
          <w:szCs w:val="32"/>
        </w:rPr>
        <w:t>0.00</w:t>
      </w:r>
      <w:r>
        <w:rPr>
          <w:rFonts w:hint="eastAsia" w:ascii="仿宋" w:hAnsi="仿宋" w:eastAsia="仿宋" w:cs="仿宋"/>
          <w:color w:val="auto"/>
          <w:sz w:val="32"/>
          <w:szCs w:val="32"/>
        </w:rPr>
        <w:t>万元，完成年初预算的</w:t>
      </w:r>
      <w:r>
        <w:rPr>
          <w:rFonts w:ascii="仿宋" w:hAnsi="仿宋" w:eastAsia="仿宋" w:cs="仿宋"/>
          <w:color w:val="auto"/>
          <w:sz w:val="32"/>
          <w:szCs w:val="32"/>
        </w:rPr>
        <w:t>0%</w:t>
      </w:r>
      <w:r>
        <w:rPr>
          <w:rFonts w:hint="eastAsia" w:ascii="仿宋" w:hAnsi="仿宋" w:eastAsia="仿宋" w:cs="仿宋"/>
          <w:color w:val="auto"/>
          <w:sz w:val="32"/>
          <w:szCs w:val="32"/>
        </w:rPr>
        <w:t>，比上年</w:t>
      </w:r>
      <w:r>
        <w:rPr>
          <w:rFonts w:ascii="仿宋" w:hAnsi="仿宋" w:eastAsia="仿宋" w:cs="仿宋"/>
          <w:color w:val="auto"/>
          <w:sz w:val="32"/>
          <w:szCs w:val="32"/>
        </w:rPr>
        <w:t>增加0.00</w:t>
      </w:r>
      <w:r>
        <w:rPr>
          <w:rFonts w:hint="eastAsia" w:ascii="仿宋" w:hAnsi="仿宋" w:eastAsia="仿宋" w:cs="仿宋"/>
          <w:color w:val="auto"/>
          <w:sz w:val="32"/>
          <w:szCs w:val="32"/>
        </w:rPr>
        <w:t xml:space="preserve"> 万元。原因是：</w:t>
      </w:r>
      <w:r>
        <w:rPr>
          <w:rFonts w:hint="eastAsia" w:ascii="仿宋" w:hAnsi="仿宋" w:eastAsia="仿宋" w:cs="仿宋"/>
          <w:color w:val="auto"/>
          <w:sz w:val="32"/>
          <w:szCs w:val="32"/>
          <w:lang w:val="en-US" w:eastAsia="zh-CN"/>
        </w:rPr>
        <w:t>2022年本单位无此项预算及费用支出。</w:t>
      </w:r>
      <w:r>
        <w:rPr>
          <w:rFonts w:hint="eastAsia" w:ascii="仿宋" w:hAnsi="仿宋" w:eastAsia="仿宋" w:cs="仿宋"/>
          <w:color w:val="auto"/>
          <w:sz w:val="32"/>
          <w:szCs w:val="32"/>
        </w:rPr>
        <w:t>全年因公出国（境）团组共计</w:t>
      </w:r>
      <w:r>
        <w:rPr>
          <w:rFonts w:ascii="仿宋" w:hAnsi="仿宋" w:eastAsia="仿宋" w:cs="仿宋"/>
          <w:color w:val="auto"/>
          <w:sz w:val="32"/>
          <w:szCs w:val="32"/>
        </w:rPr>
        <w:t>0</w:t>
      </w:r>
      <w:r>
        <w:rPr>
          <w:rFonts w:hint="eastAsia" w:ascii="仿宋" w:hAnsi="仿宋" w:eastAsia="仿宋" w:cs="仿宋"/>
          <w:color w:val="auto"/>
          <w:sz w:val="32"/>
          <w:szCs w:val="32"/>
        </w:rPr>
        <w:t>个，累计</w:t>
      </w:r>
      <w:r>
        <w:rPr>
          <w:rFonts w:ascii="仿宋" w:hAnsi="仿宋" w:eastAsia="仿宋" w:cs="仿宋"/>
          <w:color w:val="auto"/>
          <w:sz w:val="32"/>
          <w:szCs w:val="32"/>
        </w:rPr>
        <w:t>0</w:t>
      </w:r>
      <w:r>
        <w:rPr>
          <w:rFonts w:hint="eastAsia" w:ascii="仿宋" w:hAnsi="仿宋" w:eastAsia="仿宋" w:cs="仿宋"/>
          <w:color w:val="auto"/>
          <w:sz w:val="32"/>
          <w:szCs w:val="32"/>
        </w:rPr>
        <w:t>人次。</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（二）公务用车购置及运行费支出</w:t>
      </w:r>
      <w:r>
        <w:rPr>
          <w:rFonts w:ascii="仿宋" w:hAnsi="仿宋" w:eastAsia="仿宋" w:cs="仿宋"/>
          <w:color w:val="auto"/>
          <w:sz w:val="32"/>
        </w:rPr>
        <w:t>0.00</w:t>
      </w:r>
      <w:r>
        <w:rPr>
          <w:rFonts w:hint="eastAsia" w:ascii="仿宋" w:hAnsi="仿宋" w:eastAsia="仿宋" w:cs="仿宋"/>
          <w:color w:val="auto"/>
          <w:sz w:val="32"/>
          <w:szCs w:val="32"/>
        </w:rPr>
        <w:t>万元。其中：公务用车购置支出</w:t>
      </w:r>
      <w:r>
        <w:rPr>
          <w:rFonts w:ascii="仿宋" w:hAnsi="仿宋" w:eastAsia="仿宋" w:cs="仿宋"/>
          <w:color w:val="auto"/>
          <w:sz w:val="32"/>
        </w:rPr>
        <w:t>0.00</w:t>
      </w:r>
      <w:r>
        <w:rPr>
          <w:rFonts w:hint="eastAsia" w:ascii="仿宋" w:hAnsi="仿宋" w:eastAsia="仿宋" w:cs="仿宋"/>
          <w:color w:val="auto"/>
          <w:sz w:val="32"/>
          <w:szCs w:val="32"/>
        </w:rPr>
        <w:t>万元，完成年初预算的</w:t>
      </w:r>
      <w:r>
        <w:rPr>
          <w:rFonts w:ascii="仿宋" w:hAnsi="仿宋" w:eastAsia="仿宋" w:cs="仿宋"/>
          <w:color w:val="auto"/>
          <w:sz w:val="32"/>
        </w:rPr>
        <w:t>0%</w:t>
      </w:r>
      <w:r>
        <w:rPr>
          <w:rFonts w:hint="eastAsia" w:ascii="仿宋" w:hAnsi="仿宋" w:eastAsia="仿宋" w:cs="仿宋"/>
          <w:color w:val="auto"/>
          <w:sz w:val="32"/>
          <w:szCs w:val="32"/>
        </w:rPr>
        <w:t>，比上年</w:t>
      </w:r>
      <w:r>
        <w:rPr>
          <w:rFonts w:ascii="仿宋" w:hAnsi="仿宋" w:eastAsia="仿宋" w:cs="仿宋"/>
          <w:color w:val="auto"/>
          <w:sz w:val="32"/>
        </w:rPr>
        <w:t>增加0.00</w:t>
      </w:r>
      <w:r>
        <w:rPr>
          <w:rFonts w:hint="eastAsia" w:ascii="仿宋" w:hAnsi="仿宋" w:eastAsia="仿宋" w:cs="仿宋"/>
          <w:color w:val="auto"/>
          <w:sz w:val="32"/>
          <w:szCs w:val="32"/>
        </w:rPr>
        <w:t xml:space="preserve"> 万元。原因是：</w:t>
      </w:r>
      <w:r>
        <w:rPr>
          <w:rFonts w:hint="eastAsia" w:ascii="仿宋" w:hAnsi="仿宋" w:eastAsia="仿宋" w:cs="仿宋"/>
          <w:color w:val="auto"/>
          <w:sz w:val="32"/>
          <w:szCs w:val="32"/>
          <w:lang w:val="en-US" w:eastAsia="zh-CN"/>
        </w:rPr>
        <w:t>2022年本单位无此项预算及费用支出</w:t>
      </w:r>
      <w:r>
        <w:rPr>
          <w:rFonts w:hint="eastAsia" w:ascii="仿宋" w:hAnsi="仿宋" w:eastAsia="仿宋" w:cs="仿宋"/>
          <w:color w:val="auto"/>
          <w:sz w:val="32"/>
          <w:szCs w:val="32"/>
        </w:rPr>
        <w:t>。</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公务用车运行支出</w:t>
      </w:r>
      <w:r>
        <w:rPr>
          <w:rFonts w:ascii="仿宋" w:hAnsi="仿宋" w:eastAsia="仿宋" w:cs="仿宋"/>
          <w:color w:val="auto"/>
          <w:sz w:val="32"/>
        </w:rPr>
        <w:t>0.00</w:t>
      </w:r>
      <w:r>
        <w:rPr>
          <w:rFonts w:hint="eastAsia" w:ascii="仿宋" w:hAnsi="仿宋" w:eastAsia="仿宋" w:cs="仿宋"/>
          <w:color w:val="auto"/>
          <w:sz w:val="32"/>
          <w:szCs w:val="32"/>
        </w:rPr>
        <w:t>万元，完成年初预算的</w:t>
      </w:r>
      <w:r>
        <w:rPr>
          <w:rFonts w:ascii="仿宋" w:hAnsi="仿宋" w:eastAsia="仿宋" w:cs="仿宋"/>
          <w:color w:val="auto"/>
          <w:sz w:val="32"/>
        </w:rPr>
        <w:t>0%</w:t>
      </w:r>
      <w:r>
        <w:rPr>
          <w:rFonts w:hint="eastAsia" w:ascii="仿宋" w:hAnsi="仿宋" w:eastAsia="仿宋" w:cs="仿宋"/>
          <w:color w:val="auto"/>
          <w:sz w:val="32"/>
          <w:szCs w:val="32"/>
        </w:rPr>
        <w:t>，比上年</w:t>
      </w:r>
      <w:r>
        <w:rPr>
          <w:rFonts w:ascii="仿宋" w:hAnsi="仿宋" w:eastAsia="仿宋" w:cs="仿宋"/>
          <w:color w:val="auto"/>
          <w:sz w:val="32"/>
        </w:rPr>
        <w:t>增加0.00</w:t>
      </w:r>
      <w:r>
        <w:rPr>
          <w:rFonts w:hint="eastAsia" w:ascii="仿宋" w:hAnsi="仿宋" w:eastAsia="仿宋" w:cs="仿宋"/>
          <w:color w:val="auto"/>
          <w:sz w:val="32"/>
          <w:szCs w:val="32"/>
        </w:rPr>
        <w:t>万元。2022年，</w:t>
      </w:r>
      <w:r>
        <w:rPr>
          <w:rFonts w:ascii="仿宋" w:hAnsi="仿宋" w:eastAsia="仿宋" w:cs="仿宋"/>
          <w:color w:val="auto"/>
          <w:sz w:val="32"/>
        </w:rPr>
        <w:t>河池市农业机械化服务中心</w:t>
      </w:r>
      <w:r>
        <w:rPr>
          <w:rFonts w:hint="eastAsia" w:ascii="仿宋" w:hAnsi="仿宋" w:eastAsia="仿宋" w:cs="仿宋"/>
          <w:color w:val="auto"/>
          <w:sz w:val="32"/>
          <w:szCs w:val="32"/>
        </w:rPr>
        <w:t>及所属单位开支财政拨款的公务用车保有量为</w:t>
      </w:r>
      <w:r>
        <w:rPr>
          <w:rFonts w:ascii="仿宋" w:hAnsi="仿宋" w:eastAsia="仿宋" w:cs="仿宋"/>
          <w:color w:val="auto"/>
          <w:sz w:val="32"/>
        </w:rPr>
        <w:t>0</w:t>
      </w:r>
      <w:r>
        <w:rPr>
          <w:rFonts w:hint="eastAsia" w:ascii="仿宋" w:hAnsi="仿宋" w:eastAsia="仿宋" w:cs="仿宋"/>
          <w:color w:val="auto"/>
          <w:sz w:val="32"/>
          <w:szCs w:val="32"/>
        </w:rPr>
        <w:t>辆，全年运行费支出</w:t>
      </w:r>
      <w:r>
        <w:rPr>
          <w:rFonts w:ascii="仿宋" w:hAnsi="仿宋" w:eastAsia="仿宋" w:cs="仿宋"/>
          <w:color w:val="auto"/>
          <w:sz w:val="32"/>
        </w:rPr>
        <w:t>0.00</w:t>
      </w:r>
      <w:r>
        <w:rPr>
          <w:rFonts w:hint="eastAsia" w:ascii="仿宋" w:hAnsi="仿宋" w:eastAsia="仿宋" w:cs="仿宋"/>
          <w:color w:val="auto"/>
          <w:sz w:val="32"/>
          <w:szCs w:val="32"/>
        </w:rPr>
        <w:t>万元。</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（三）公务接待费支出</w:t>
      </w:r>
      <w:r>
        <w:rPr>
          <w:rFonts w:ascii="仿宋" w:hAnsi="仿宋" w:eastAsia="仿宋" w:cs="仿宋"/>
          <w:color w:val="auto"/>
          <w:sz w:val="32"/>
          <w:szCs w:val="32"/>
        </w:rPr>
        <w:t>0.89</w:t>
      </w:r>
      <w:r>
        <w:rPr>
          <w:rFonts w:hint="eastAsia" w:ascii="仿宋" w:hAnsi="仿宋" w:eastAsia="仿宋" w:cs="仿宋"/>
          <w:color w:val="auto"/>
          <w:sz w:val="32"/>
          <w:szCs w:val="32"/>
        </w:rPr>
        <w:t>万元，完成年初预算的</w:t>
      </w:r>
      <w:r>
        <w:rPr>
          <w:rFonts w:ascii="仿宋" w:hAnsi="仿宋" w:eastAsia="仿宋" w:cs="仿宋"/>
          <w:color w:val="auto"/>
          <w:sz w:val="32"/>
          <w:szCs w:val="32"/>
        </w:rPr>
        <w:t>35.60%</w:t>
      </w:r>
      <w:r>
        <w:rPr>
          <w:rFonts w:hint="eastAsia" w:ascii="仿宋" w:hAnsi="仿宋" w:eastAsia="仿宋" w:cs="仿宋"/>
          <w:color w:val="auto"/>
          <w:sz w:val="32"/>
          <w:szCs w:val="32"/>
        </w:rPr>
        <w:t>， 比上年</w:t>
      </w:r>
      <w:r>
        <w:rPr>
          <w:rFonts w:ascii="仿宋" w:hAnsi="仿宋" w:eastAsia="仿宋" w:cs="仿宋"/>
          <w:color w:val="auto"/>
          <w:sz w:val="32"/>
          <w:szCs w:val="32"/>
        </w:rPr>
        <w:t>减少0.77</w:t>
      </w:r>
      <w:r>
        <w:rPr>
          <w:rFonts w:hint="eastAsia" w:ascii="仿宋" w:hAnsi="仿宋" w:eastAsia="仿宋" w:cs="仿宋"/>
          <w:color w:val="auto"/>
          <w:sz w:val="32"/>
          <w:szCs w:val="32"/>
        </w:rPr>
        <w:t>万元，主要原因是：</w:t>
      </w:r>
      <w:r>
        <w:rPr>
          <w:rFonts w:hint="eastAsia" w:ascii="仿宋" w:hAnsi="仿宋" w:eastAsia="仿宋" w:cs="仿宋"/>
          <w:color w:val="auto"/>
          <w:sz w:val="32"/>
          <w:szCs w:val="32"/>
          <w:lang w:eastAsia="zh-CN"/>
        </w:rPr>
        <w:t>单位依据财政文件要求加强“三公经费”管理，严控一般性支出</w:t>
      </w:r>
      <w:r>
        <w:rPr>
          <w:rFonts w:hint="eastAsia" w:ascii="仿宋" w:hAnsi="仿宋" w:eastAsia="仿宋" w:cs="仿宋"/>
          <w:color w:val="auto"/>
          <w:sz w:val="32"/>
          <w:szCs w:val="32"/>
        </w:rPr>
        <w:t>。国内公务接待批次</w:t>
      </w:r>
      <w:r>
        <w:rPr>
          <w:rFonts w:ascii="仿宋" w:hAnsi="仿宋" w:eastAsia="仿宋" w:cs="仿宋"/>
          <w:color w:val="auto"/>
          <w:sz w:val="32"/>
          <w:szCs w:val="32"/>
        </w:rPr>
        <w:t>13</w:t>
      </w:r>
      <w:r>
        <w:rPr>
          <w:rFonts w:hint="eastAsia" w:ascii="仿宋" w:hAnsi="仿宋" w:eastAsia="仿宋" w:cs="仿宋"/>
          <w:color w:val="auto"/>
          <w:sz w:val="32"/>
          <w:szCs w:val="32"/>
        </w:rPr>
        <w:t>次，人次</w:t>
      </w:r>
      <w:r>
        <w:rPr>
          <w:rFonts w:ascii="仿宋" w:hAnsi="仿宋" w:eastAsia="仿宋" w:cs="仿宋"/>
          <w:color w:val="auto"/>
          <w:sz w:val="32"/>
          <w:szCs w:val="32"/>
        </w:rPr>
        <w:t>71</w:t>
      </w:r>
      <w:r>
        <w:rPr>
          <w:rFonts w:hint="eastAsia" w:ascii="仿宋" w:hAnsi="仿宋" w:eastAsia="仿宋" w:cs="仿宋"/>
          <w:color w:val="auto"/>
          <w:sz w:val="32"/>
          <w:szCs w:val="32"/>
        </w:rPr>
        <w:t>次，国（境）外公务接待批次</w:t>
      </w:r>
      <w:r>
        <w:rPr>
          <w:rFonts w:ascii="仿宋" w:hAnsi="仿宋" w:eastAsia="仿宋" w:cs="仿宋"/>
          <w:color w:val="auto"/>
          <w:sz w:val="32"/>
          <w:szCs w:val="32"/>
        </w:rPr>
        <w:t>0</w:t>
      </w:r>
      <w:r>
        <w:rPr>
          <w:rFonts w:hint="eastAsia" w:ascii="仿宋" w:hAnsi="仿宋" w:eastAsia="仿宋" w:cs="仿宋"/>
          <w:color w:val="auto"/>
          <w:sz w:val="32"/>
          <w:szCs w:val="32"/>
        </w:rPr>
        <w:t>次，人次</w:t>
      </w:r>
      <w:r>
        <w:rPr>
          <w:rFonts w:ascii="仿宋" w:hAnsi="仿宋" w:eastAsia="仿宋" w:cs="仿宋"/>
          <w:color w:val="auto"/>
          <w:sz w:val="32"/>
          <w:szCs w:val="32"/>
        </w:rPr>
        <w:t>0</w:t>
      </w:r>
      <w:r>
        <w:rPr>
          <w:rFonts w:hint="eastAsia" w:ascii="仿宋" w:hAnsi="仿宋" w:eastAsia="仿宋" w:cs="仿宋"/>
          <w:color w:val="auto"/>
          <w:sz w:val="32"/>
          <w:szCs w:val="32"/>
        </w:rPr>
        <w:t>次。</w:t>
      </w:r>
    </w:p>
    <w:p>
      <w:pPr>
        <w:jc w:val="left"/>
        <w:rPr>
          <w:rFonts w:ascii="仿宋" w:hAnsi="仿宋" w:eastAsia="仿宋" w:cs="仿宋"/>
          <w:color w:val="auto"/>
          <w:sz w:val="32"/>
          <w:szCs w:val="32"/>
        </w:rPr>
      </w:pPr>
      <w:r>
        <w:rPr>
          <w:rFonts w:hint="eastAsia" w:ascii="黑体" w:hAnsi="黑体" w:eastAsia="黑体" w:cs="黑体"/>
          <w:color w:val="auto"/>
          <w:sz w:val="32"/>
          <w:szCs w:val="32"/>
        </w:rPr>
        <w:t>七、其他重要事项情况说明</w:t>
      </w:r>
    </w:p>
    <w:p>
      <w:pPr>
        <w:jc w:val="left"/>
        <w:rPr>
          <w:rFonts w:ascii="黑体" w:hAnsi="黑体" w:eastAsia="黑体" w:cs="黑体"/>
          <w:color w:val="auto"/>
          <w:sz w:val="32"/>
          <w:szCs w:val="32"/>
        </w:rPr>
      </w:pPr>
      <w:r>
        <w:rPr>
          <w:rFonts w:hint="eastAsia" w:ascii="黑体" w:hAnsi="黑体" w:eastAsia="黑体" w:cs="黑体"/>
          <w:color w:val="auto"/>
          <w:sz w:val="32"/>
          <w:szCs w:val="32"/>
        </w:rPr>
        <w:t>（一） 机关运行经费支出情况说明</w:t>
      </w:r>
    </w:p>
    <w:p>
      <w:pPr>
        <w:ind w:firstLine="640" w:firstLineChars="200"/>
        <w:jc w:val="left"/>
        <w:rPr>
          <w:rFonts w:hint="default" w:ascii="仿宋" w:hAnsi="仿宋" w:eastAsia="仿宋" w:cs="仿宋"/>
          <w:color w:val="auto"/>
          <w:sz w:val="32"/>
          <w:szCs w:val="32"/>
          <w:lang w:val="en-US"/>
        </w:rPr>
      </w:pPr>
      <w:r>
        <w:rPr>
          <w:rFonts w:hint="eastAsia" w:ascii="仿宋" w:hAnsi="仿宋" w:eastAsia="仿宋" w:cs="仿宋"/>
          <w:color w:val="auto"/>
          <w:sz w:val="32"/>
          <w:szCs w:val="32"/>
        </w:rPr>
        <w:t>本部门2022年度机关运行经费支出</w:t>
      </w:r>
      <w:r>
        <w:rPr>
          <w:rFonts w:ascii="仿宋" w:hAnsi="仿宋" w:eastAsia="仿宋" w:cs="仿宋"/>
          <w:color w:val="auto"/>
          <w:sz w:val="32"/>
          <w:szCs w:val="32"/>
        </w:rPr>
        <w:t>63.59</w:t>
      </w:r>
      <w:r>
        <w:rPr>
          <w:rFonts w:hint="eastAsia" w:ascii="仿宋" w:hAnsi="仿宋" w:eastAsia="仿宋" w:cs="仿宋"/>
          <w:color w:val="auto"/>
          <w:sz w:val="32"/>
          <w:szCs w:val="32"/>
        </w:rPr>
        <w:t>万元（与部门决算中行政单位和参照公务员法管理事业单位一般公共预算财政拨款基本支出中公用经费之和一致），比年初预算数</w:t>
      </w:r>
      <w:r>
        <w:rPr>
          <w:rFonts w:ascii="仿宋" w:hAnsi="仿宋" w:eastAsia="仿宋" w:cs="仿宋"/>
          <w:color w:val="auto"/>
          <w:sz w:val="32"/>
          <w:szCs w:val="32"/>
        </w:rPr>
        <w:t>减少7.81</w:t>
      </w:r>
      <w:r>
        <w:rPr>
          <w:rFonts w:hint="eastAsia" w:ascii="仿宋" w:hAnsi="仿宋" w:eastAsia="仿宋" w:cs="仿宋"/>
          <w:color w:val="auto"/>
          <w:sz w:val="32"/>
          <w:szCs w:val="32"/>
        </w:rPr>
        <w:t>万元，</w:t>
      </w:r>
      <w:r>
        <w:rPr>
          <w:rFonts w:ascii="仿宋" w:hAnsi="仿宋" w:eastAsia="仿宋" w:cs="仿宋"/>
          <w:color w:val="auto"/>
          <w:sz w:val="32"/>
          <w:szCs w:val="32"/>
        </w:rPr>
        <w:t>下降10.94%</w:t>
      </w:r>
      <w:r>
        <w:rPr>
          <w:rFonts w:hint="eastAsia" w:ascii="仿宋" w:hAnsi="仿宋" w:eastAsia="仿宋" w:cs="仿宋"/>
          <w:color w:val="auto"/>
          <w:sz w:val="32"/>
          <w:szCs w:val="32"/>
        </w:rPr>
        <w:t>，比上年决算数</w:t>
      </w:r>
      <w:r>
        <w:rPr>
          <w:rFonts w:ascii="仿宋" w:hAnsi="仿宋" w:eastAsia="仿宋" w:cs="仿宋"/>
          <w:color w:val="auto"/>
          <w:sz w:val="32"/>
          <w:szCs w:val="32"/>
        </w:rPr>
        <w:t>增加18.57</w:t>
      </w:r>
      <w:r>
        <w:rPr>
          <w:rFonts w:hint="eastAsia" w:ascii="仿宋" w:hAnsi="仿宋" w:eastAsia="仿宋" w:cs="仿宋"/>
          <w:color w:val="auto"/>
          <w:sz w:val="32"/>
          <w:szCs w:val="32"/>
        </w:rPr>
        <w:t>万元，</w:t>
      </w:r>
      <w:r>
        <w:rPr>
          <w:rFonts w:ascii="仿宋" w:hAnsi="仿宋" w:eastAsia="仿宋" w:cs="仿宋"/>
          <w:color w:val="auto"/>
          <w:sz w:val="32"/>
          <w:szCs w:val="32"/>
        </w:rPr>
        <w:t>增长41.25%</w:t>
      </w:r>
      <w:r>
        <w:rPr>
          <w:rFonts w:hint="eastAsia" w:ascii="仿宋" w:hAnsi="仿宋" w:eastAsia="仿宋" w:cs="仿宋"/>
          <w:color w:val="auto"/>
          <w:sz w:val="32"/>
          <w:szCs w:val="32"/>
        </w:rPr>
        <w:t>。主要原因是：</w:t>
      </w:r>
      <w:r>
        <w:rPr>
          <w:rFonts w:hint="default" w:ascii="Calibri" w:hAnsi="Calibri" w:eastAsia="仿宋" w:cs="Calibri"/>
          <w:color w:val="auto"/>
          <w:sz w:val="32"/>
          <w:szCs w:val="32"/>
        </w:rPr>
        <w:t>①</w:t>
      </w:r>
      <w:r>
        <w:rPr>
          <w:rFonts w:hint="eastAsia" w:ascii="仿宋" w:hAnsi="仿宋" w:eastAsia="仿宋" w:cs="仿宋"/>
          <w:color w:val="auto"/>
          <w:sz w:val="32"/>
          <w:szCs w:val="32"/>
          <w:lang w:eastAsia="zh-CN"/>
        </w:rPr>
        <w:t>较年初预算数减少的原因是：单位依据财政文件要求加强“三公经费”管理，严控一般性支出。</w:t>
      </w:r>
      <w:r>
        <w:rPr>
          <w:rFonts w:hint="default" w:ascii="Calibri" w:hAnsi="Calibri" w:eastAsia="仿宋" w:cs="Calibri"/>
          <w:color w:val="auto"/>
          <w:sz w:val="32"/>
          <w:szCs w:val="32"/>
          <w:lang w:eastAsia="zh-CN"/>
        </w:rPr>
        <w:t>②</w:t>
      </w:r>
      <w:r>
        <w:rPr>
          <w:rFonts w:hint="eastAsia" w:ascii="仿宋" w:hAnsi="仿宋" w:eastAsia="仿宋" w:cs="仿宋"/>
          <w:color w:val="auto"/>
          <w:sz w:val="32"/>
          <w:szCs w:val="32"/>
          <w:lang w:eastAsia="zh-CN"/>
        </w:rPr>
        <w:t>较上年决算增加的原因一是</w:t>
      </w:r>
      <w:r>
        <w:rPr>
          <w:rFonts w:hint="eastAsia" w:ascii="仿宋" w:hAnsi="仿宋" w:eastAsia="仿宋" w:cs="仿宋"/>
          <w:color w:val="auto"/>
          <w:sz w:val="32"/>
          <w:szCs w:val="32"/>
          <w:lang w:val="en-US" w:eastAsia="zh-CN"/>
        </w:rPr>
        <w:t>2022年年初预算机关事业单位伙食补助费经济分类为其他商品和服务支出。二是单位业务开展需要。</w:t>
      </w:r>
    </w:p>
    <w:p>
      <w:pPr>
        <w:jc w:val="left"/>
        <w:rPr>
          <w:rFonts w:ascii="黑体" w:hAnsi="黑体" w:eastAsia="黑体" w:cs="黑体"/>
          <w:color w:val="auto"/>
          <w:sz w:val="32"/>
          <w:szCs w:val="32"/>
        </w:rPr>
      </w:pPr>
      <w:r>
        <w:rPr>
          <w:rFonts w:hint="eastAsia" w:ascii="黑体" w:hAnsi="黑体" w:eastAsia="黑体" w:cs="黑体"/>
          <w:color w:val="auto"/>
          <w:sz w:val="32"/>
          <w:szCs w:val="32"/>
        </w:rPr>
        <w:t>（二）政府采购支出情况说明</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本部门2022年度政府采购支出总额</w:t>
      </w:r>
      <w:r>
        <w:rPr>
          <w:rFonts w:ascii="仿宋" w:hAnsi="仿宋" w:eastAsia="仿宋" w:cs="仿宋"/>
          <w:color w:val="auto"/>
          <w:sz w:val="32"/>
          <w:szCs w:val="32"/>
        </w:rPr>
        <w:t>9.22</w:t>
      </w:r>
      <w:r>
        <w:rPr>
          <w:rFonts w:hint="eastAsia" w:ascii="仿宋" w:hAnsi="仿宋" w:eastAsia="仿宋" w:cs="仿宋"/>
          <w:color w:val="auto"/>
          <w:sz w:val="32"/>
          <w:szCs w:val="32"/>
        </w:rPr>
        <w:t>万元，其中：政府采购货物支出</w:t>
      </w:r>
      <w:r>
        <w:rPr>
          <w:rFonts w:ascii="仿宋" w:hAnsi="仿宋" w:eastAsia="仿宋" w:cs="仿宋"/>
          <w:color w:val="auto"/>
          <w:sz w:val="32"/>
          <w:szCs w:val="32"/>
        </w:rPr>
        <w:t>9.22</w:t>
      </w:r>
      <w:r>
        <w:rPr>
          <w:rFonts w:hint="eastAsia" w:ascii="仿宋" w:hAnsi="仿宋" w:eastAsia="仿宋" w:cs="仿宋"/>
          <w:color w:val="auto"/>
          <w:sz w:val="32"/>
          <w:szCs w:val="32"/>
        </w:rPr>
        <w:t>万元、政府采购工程支出</w:t>
      </w:r>
      <w:r>
        <w:rPr>
          <w:rFonts w:ascii="仿宋" w:hAnsi="仿宋" w:eastAsia="仿宋" w:cs="仿宋"/>
          <w:color w:val="auto"/>
          <w:sz w:val="32"/>
          <w:szCs w:val="32"/>
        </w:rPr>
        <w:t>0.00</w:t>
      </w:r>
      <w:r>
        <w:rPr>
          <w:rFonts w:hint="eastAsia" w:ascii="仿宋" w:hAnsi="仿宋" w:eastAsia="仿宋" w:cs="仿宋"/>
          <w:color w:val="auto"/>
          <w:sz w:val="32"/>
          <w:szCs w:val="32"/>
        </w:rPr>
        <w:t>万元、政府采购服务支出</w:t>
      </w:r>
      <w:r>
        <w:rPr>
          <w:rFonts w:ascii="仿宋" w:hAnsi="仿宋" w:eastAsia="仿宋" w:cs="仿宋"/>
          <w:color w:val="auto"/>
          <w:sz w:val="32"/>
          <w:szCs w:val="32"/>
        </w:rPr>
        <w:t>0.00</w:t>
      </w:r>
      <w:r>
        <w:rPr>
          <w:rFonts w:hint="eastAsia" w:ascii="仿宋" w:hAnsi="仿宋" w:eastAsia="仿宋" w:cs="仿宋"/>
          <w:color w:val="auto"/>
          <w:sz w:val="32"/>
          <w:szCs w:val="32"/>
        </w:rPr>
        <w:t>万元。授予中小企业合同金额</w:t>
      </w:r>
      <w:r>
        <w:rPr>
          <w:rFonts w:ascii="仿宋" w:hAnsi="仿宋" w:eastAsia="仿宋" w:cs="仿宋"/>
          <w:color w:val="auto"/>
          <w:sz w:val="32"/>
          <w:szCs w:val="32"/>
        </w:rPr>
        <w:t>0.00</w:t>
      </w:r>
      <w:r>
        <w:rPr>
          <w:rFonts w:hint="eastAsia" w:ascii="仿宋" w:hAnsi="仿宋" w:eastAsia="仿宋" w:cs="仿宋"/>
          <w:color w:val="auto"/>
          <w:sz w:val="32"/>
          <w:szCs w:val="32"/>
        </w:rPr>
        <w:t>万元，占政府采购支出总额的</w:t>
      </w:r>
      <w:r>
        <w:rPr>
          <w:rFonts w:ascii="仿宋" w:hAnsi="仿宋" w:eastAsia="仿宋" w:cs="仿宋"/>
          <w:color w:val="auto"/>
          <w:sz w:val="32"/>
          <w:szCs w:val="32"/>
        </w:rPr>
        <w:t>0.00%</w:t>
      </w:r>
      <w:r>
        <w:rPr>
          <w:rFonts w:hint="eastAsia" w:ascii="仿宋" w:hAnsi="仿宋" w:eastAsia="仿宋" w:cs="仿宋"/>
          <w:color w:val="auto"/>
          <w:sz w:val="32"/>
          <w:szCs w:val="32"/>
        </w:rPr>
        <w:t>，其中：授予小微企业合同金额</w:t>
      </w:r>
      <w:r>
        <w:rPr>
          <w:rFonts w:ascii="仿宋" w:hAnsi="仿宋" w:eastAsia="仿宋" w:cs="仿宋"/>
          <w:color w:val="auto"/>
          <w:sz w:val="32"/>
          <w:szCs w:val="32"/>
        </w:rPr>
        <w:t>0.00</w:t>
      </w:r>
      <w:r>
        <w:rPr>
          <w:rFonts w:hint="eastAsia" w:ascii="仿宋" w:hAnsi="仿宋" w:eastAsia="仿宋" w:cs="仿宋"/>
          <w:color w:val="auto"/>
          <w:sz w:val="32"/>
          <w:szCs w:val="32"/>
        </w:rPr>
        <w:t>万元，占授予中小企业合同金额的</w:t>
      </w:r>
      <w:r>
        <w:rPr>
          <w:rFonts w:ascii="仿宋" w:hAnsi="仿宋" w:eastAsia="仿宋" w:cs="仿宋"/>
          <w:color w:val="auto"/>
          <w:sz w:val="32"/>
          <w:szCs w:val="32"/>
        </w:rPr>
        <w:t>0%</w:t>
      </w:r>
      <w:r>
        <w:rPr>
          <w:rFonts w:hint="eastAsia" w:ascii="仿宋" w:hAnsi="仿宋" w:eastAsia="仿宋" w:cs="仿宋"/>
          <w:color w:val="auto"/>
          <w:sz w:val="32"/>
          <w:szCs w:val="32"/>
        </w:rPr>
        <w:t>。</w:t>
      </w:r>
    </w:p>
    <w:p>
      <w:pPr>
        <w:jc w:val="left"/>
        <w:rPr>
          <w:rFonts w:ascii="仿宋" w:hAnsi="仿宋" w:eastAsia="仿宋" w:cs="仿宋"/>
          <w:color w:val="auto"/>
          <w:sz w:val="32"/>
          <w:szCs w:val="32"/>
        </w:rPr>
      </w:pPr>
      <w:r>
        <w:rPr>
          <w:rFonts w:hint="eastAsia" w:ascii="黑体" w:hAnsi="黑体" w:eastAsia="黑体" w:cs="黑体"/>
          <w:color w:val="auto"/>
          <w:sz w:val="32"/>
          <w:szCs w:val="32"/>
        </w:rPr>
        <w:t>（三）国有资产占用情况说明</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截至2022年12月31日，本部门共有车辆</w:t>
      </w:r>
      <w:r>
        <w:rPr>
          <w:rFonts w:ascii="仿宋" w:hAnsi="仿宋" w:eastAsia="仿宋" w:cs="仿宋"/>
          <w:color w:val="auto"/>
          <w:sz w:val="32"/>
          <w:szCs w:val="32"/>
        </w:rPr>
        <w:t>0</w:t>
      </w:r>
      <w:r>
        <w:rPr>
          <w:rFonts w:hint="eastAsia" w:ascii="仿宋" w:hAnsi="仿宋" w:eastAsia="仿宋" w:cs="仿宋"/>
          <w:color w:val="auto"/>
          <w:sz w:val="32"/>
          <w:szCs w:val="32"/>
        </w:rPr>
        <w:t>辆，其中：副部（省）级领导干部用车</w:t>
      </w:r>
      <w:r>
        <w:rPr>
          <w:rFonts w:ascii="仿宋" w:hAnsi="仿宋" w:eastAsia="仿宋" w:cs="仿宋"/>
          <w:color w:val="auto"/>
          <w:sz w:val="32"/>
          <w:szCs w:val="32"/>
        </w:rPr>
        <w:t>0</w:t>
      </w:r>
      <w:r>
        <w:rPr>
          <w:rFonts w:hint="eastAsia" w:ascii="仿宋" w:hAnsi="仿宋" w:eastAsia="仿宋" w:cs="仿宋"/>
          <w:color w:val="auto"/>
          <w:sz w:val="32"/>
          <w:szCs w:val="32"/>
        </w:rPr>
        <w:t>辆、机要通信用车</w:t>
      </w:r>
      <w:r>
        <w:rPr>
          <w:rFonts w:ascii="仿宋" w:hAnsi="仿宋" w:eastAsia="仿宋" w:cs="仿宋"/>
          <w:color w:val="auto"/>
          <w:sz w:val="32"/>
          <w:szCs w:val="32"/>
        </w:rPr>
        <w:t>0</w:t>
      </w:r>
      <w:r>
        <w:rPr>
          <w:rFonts w:hint="eastAsia" w:ascii="仿宋" w:hAnsi="仿宋" w:eastAsia="仿宋" w:cs="仿宋"/>
          <w:color w:val="auto"/>
          <w:sz w:val="32"/>
          <w:szCs w:val="32"/>
        </w:rPr>
        <w:t>辆、应急保障用车</w:t>
      </w:r>
      <w:r>
        <w:rPr>
          <w:rFonts w:ascii="仿宋" w:hAnsi="仿宋" w:eastAsia="仿宋" w:cs="仿宋"/>
          <w:color w:val="auto"/>
          <w:sz w:val="32"/>
          <w:szCs w:val="32"/>
        </w:rPr>
        <w:t>0</w:t>
      </w:r>
      <w:r>
        <w:rPr>
          <w:rFonts w:hint="eastAsia" w:ascii="仿宋" w:hAnsi="仿宋" w:eastAsia="仿宋" w:cs="仿宋"/>
          <w:color w:val="auto"/>
          <w:sz w:val="32"/>
          <w:szCs w:val="32"/>
        </w:rPr>
        <w:t>辆、执法执勤用车</w:t>
      </w:r>
      <w:r>
        <w:rPr>
          <w:rFonts w:ascii="仿宋" w:hAnsi="仿宋" w:eastAsia="仿宋" w:cs="仿宋"/>
          <w:color w:val="auto"/>
          <w:sz w:val="32"/>
          <w:szCs w:val="32"/>
        </w:rPr>
        <w:t>0</w:t>
      </w:r>
      <w:r>
        <w:rPr>
          <w:rFonts w:hint="eastAsia" w:ascii="仿宋" w:hAnsi="仿宋" w:eastAsia="仿宋" w:cs="仿宋"/>
          <w:color w:val="auto"/>
          <w:sz w:val="32"/>
          <w:szCs w:val="32"/>
        </w:rPr>
        <w:t>辆、特种专业技术用车</w:t>
      </w:r>
      <w:r>
        <w:rPr>
          <w:rFonts w:ascii="仿宋" w:hAnsi="仿宋" w:eastAsia="仿宋" w:cs="仿宋"/>
          <w:color w:val="auto"/>
          <w:sz w:val="32"/>
          <w:szCs w:val="32"/>
        </w:rPr>
        <w:t>0</w:t>
      </w:r>
      <w:r>
        <w:rPr>
          <w:rFonts w:hint="eastAsia" w:ascii="仿宋" w:hAnsi="仿宋" w:eastAsia="仿宋" w:cs="仿宋"/>
          <w:color w:val="auto"/>
          <w:sz w:val="32"/>
          <w:szCs w:val="32"/>
        </w:rPr>
        <w:t>辆、其他用车</w:t>
      </w:r>
      <w:r>
        <w:rPr>
          <w:rFonts w:ascii="仿宋" w:hAnsi="仿宋" w:eastAsia="仿宋" w:cs="仿宋"/>
          <w:color w:val="auto"/>
          <w:sz w:val="32"/>
          <w:szCs w:val="32"/>
        </w:rPr>
        <w:t>0</w:t>
      </w:r>
      <w:r>
        <w:rPr>
          <w:rFonts w:hint="eastAsia" w:ascii="仿宋" w:hAnsi="仿宋" w:eastAsia="仿宋" w:cs="仿宋"/>
          <w:color w:val="auto"/>
          <w:sz w:val="32"/>
          <w:szCs w:val="32"/>
        </w:rPr>
        <w:t>辆；单位价值50万元以上通用设备</w:t>
      </w:r>
      <w:r>
        <w:rPr>
          <w:rFonts w:ascii="仿宋" w:hAnsi="仿宋" w:eastAsia="仿宋" w:cs="仿宋"/>
          <w:color w:val="auto"/>
          <w:sz w:val="32"/>
          <w:szCs w:val="32"/>
        </w:rPr>
        <w:t>0</w:t>
      </w:r>
      <w:r>
        <w:rPr>
          <w:rFonts w:hint="eastAsia" w:ascii="仿宋" w:hAnsi="仿宋" w:eastAsia="仿宋" w:cs="仿宋"/>
          <w:color w:val="auto"/>
          <w:sz w:val="32"/>
          <w:szCs w:val="32"/>
        </w:rPr>
        <w:t>台（套）；单位价值100万元以上专用设备</w:t>
      </w:r>
      <w:r>
        <w:rPr>
          <w:rFonts w:ascii="仿宋" w:hAnsi="仿宋" w:eastAsia="仿宋" w:cs="仿宋"/>
          <w:color w:val="auto"/>
          <w:sz w:val="32"/>
          <w:szCs w:val="32"/>
        </w:rPr>
        <w:t>0</w:t>
      </w:r>
      <w:r>
        <w:rPr>
          <w:rFonts w:hint="eastAsia" w:ascii="仿宋" w:hAnsi="仿宋" w:eastAsia="仿宋" w:cs="仿宋"/>
          <w:color w:val="auto"/>
          <w:sz w:val="32"/>
          <w:szCs w:val="32"/>
        </w:rPr>
        <w:t>台（套）。</w:t>
      </w:r>
    </w:p>
    <w:p>
      <w:pPr>
        <w:jc w:val="left"/>
        <w:rPr>
          <w:rFonts w:ascii="仿宋" w:hAnsi="仿宋" w:eastAsia="仿宋" w:cs="仿宋"/>
          <w:color w:val="auto"/>
          <w:sz w:val="32"/>
          <w:szCs w:val="32"/>
        </w:rPr>
      </w:pPr>
      <w:r>
        <w:rPr>
          <w:rFonts w:hint="eastAsia" w:ascii="黑体" w:hAnsi="黑体" w:eastAsia="黑体" w:cs="黑体"/>
          <w:color w:val="auto"/>
          <w:sz w:val="32"/>
          <w:szCs w:val="32"/>
        </w:rPr>
        <w:t>（四）预算绩效管理工作开展情况</w:t>
      </w:r>
    </w:p>
    <w:p>
      <w:pPr>
        <w:ind w:firstLine="643" w:firstLineChars="200"/>
        <w:jc w:val="left"/>
        <w:rPr>
          <w:rFonts w:ascii="仿宋" w:hAnsi="仿宋" w:eastAsia="仿宋" w:cs="仿宋"/>
          <w:b/>
          <w:bCs/>
          <w:color w:val="auto"/>
          <w:sz w:val="32"/>
          <w:szCs w:val="32"/>
        </w:rPr>
      </w:pPr>
      <w:r>
        <w:rPr>
          <w:rFonts w:hint="eastAsia" w:ascii="仿宋" w:hAnsi="仿宋" w:eastAsia="仿宋" w:cs="仿宋"/>
          <w:b/>
          <w:bCs/>
          <w:color w:val="auto"/>
          <w:sz w:val="32"/>
          <w:szCs w:val="32"/>
        </w:rPr>
        <w:t>1.绩效管理工作开展情况</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Times New Roman" w:eastAsia="仿宋_GB2312" w:cs="仿宋_GB2312"/>
          <w:color w:val="auto"/>
          <w:kern w:val="0"/>
          <w:sz w:val="32"/>
          <w:szCs w:val="32"/>
        </w:rPr>
      </w:pPr>
      <w:r>
        <w:rPr>
          <w:rFonts w:ascii="仿宋_GB2312" w:hAnsi="Times New Roman" w:eastAsia="仿宋_GB2312" w:cs="仿宋_GB2312"/>
          <w:color w:val="auto"/>
          <w:kern w:val="0"/>
          <w:sz w:val="32"/>
          <w:szCs w:val="32"/>
        </w:rPr>
        <w:t>根据财政预算管理要求，本部门组织对2022年度预算项目支出全面开展绩效自评。2022年共开展预算项目自评</w:t>
      </w:r>
      <w:r>
        <w:rPr>
          <w:rFonts w:hint="eastAsia" w:ascii="仿宋_GB2312" w:hAnsi="Times New Roman" w:eastAsia="仿宋_GB2312" w:cs="仿宋_GB2312"/>
          <w:color w:val="auto"/>
          <w:kern w:val="0"/>
          <w:sz w:val="32"/>
          <w:szCs w:val="32"/>
          <w:lang w:val="en-US" w:eastAsia="zh-CN"/>
        </w:rPr>
        <w:t>五</w:t>
      </w:r>
      <w:r>
        <w:rPr>
          <w:rFonts w:ascii="仿宋_GB2312" w:hAnsi="Times New Roman" w:eastAsia="仿宋_GB2312" w:cs="仿宋_GB2312"/>
          <w:color w:val="auto"/>
          <w:kern w:val="0"/>
          <w:sz w:val="32"/>
          <w:szCs w:val="32"/>
        </w:rPr>
        <w:t>个,共涉及资金</w:t>
      </w:r>
      <w:r>
        <w:rPr>
          <w:rFonts w:hint="eastAsia" w:ascii="仿宋_GB2312" w:hAnsi="Times New Roman" w:eastAsia="仿宋_GB2312" w:cs="仿宋_GB2312"/>
          <w:color w:val="auto"/>
          <w:kern w:val="0"/>
          <w:sz w:val="32"/>
          <w:szCs w:val="32"/>
          <w:lang w:val="en-US" w:eastAsia="zh-CN"/>
        </w:rPr>
        <w:t>42</w:t>
      </w:r>
      <w:r>
        <w:rPr>
          <w:rFonts w:ascii="仿宋_GB2312" w:hAnsi="Times New Roman" w:eastAsia="仿宋_GB2312" w:cs="仿宋_GB2312"/>
          <w:color w:val="auto"/>
          <w:kern w:val="0"/>
          <w:sz w:val="32"/>
          <w:szCs w:val="32"/>
        </w:rPr>
        <w:t>万元,自评覆盖率达到</w:t>
      </w:r>
      <w:r>
        <w:rPr>
          <w:rFonts w:hint="eastAsia" w:ascii="仿宋_GB2312" w:hAnsi="Times New Roman" w:eastAsia="仿宋_GB2312" w:cs="仿宋_GB2312"/>
          <w:color w:val="auto"/>
          <w:kern w:val="0"/>
          <w:sz w:val="32"/>
          <w:szCs w:val="32"/>
          <w:lang w:val="en-US" w:eastAsia="zh-CN"/>
        </w:rPr>
        <w:t>100</w:t>
      </w:r>
      <w:r>
        <w:rPr>
          <w:rFonts w:ascii="仿宋_GB2312" w:hAnsi="Times New Roman" w:eastAsia="仿宋_GB2312" w:cs="仿宋_GB2312"/>
          <w:color w:val="auto"/>
          <w:kern w:val="0"/>
          <w:sz w:val="32"/>
          <w:szCs w:val="32"/>
        </w:rPr>
        <w:t>%。</w:t>
      </w:r>
    </w:p>
    <w:p>
      <w:pPr>
        <w:keepNext w:val="0"/>
        <w:keepLines w:val="0"/>
        <w:pageBreakBefore w:val="0"/>
        <w:widowControl/>
        <w:kinsoku/>
        <w:wordWrap/>
        <w:overflowPunct/>
        <w:topLinePunct w:val="0"/>
        <w:bidi w:val="0"/>
        <w:snapToGrid/>
        <w:spacing w:before="75" w:after="75" w:line="560" w:lineRule="exact"/>
        <w:ind w:firstLine="640" w:firstLineChars="200"/>
        <w:jc w:val="left"/>
        <w:textAlignment w:val="auto"/>
        <w:rPr>
          <w:rFonts w:hint="eastAsia" w:ascii="仿宋" w:hAnsi="仿宋" w:eastAsia="仿宋" w:cs="仿宋"/>
          <w:b/>
          <w:bCs/>
          <w:color w:val="auto"/>
          <w:kern w:val="0"/>
          <w:sz w:val="32"/>
          <w:szCs w:val="32"/>
          <w:highlight w:val="none"/>
        </w:rPr>
      </w:pPr>
      <w:r>
        <w:rPr>
          <w:rFonts w:ascii="仿宋_GB2312" w:hAnsi="Times New Roman" w:eastAsia="仿宋_GB2312" w:cs="仿宋_GB2312"/>
          <w:color w:val="auto"/>
          <w:kern w:val="0"/>
          <w:sz w:val="32"/>
          <w:szCs w:val="32"/>
        </w:rPr>
        <w:t>共组织对“</w:t>
      </w:r>
      <w:r>
        <w:rPr>
          <w:rFonts w:hint="eastAsia" w:ascii="仿宋_GB2312" w:hAnsi="Times New Roman" w:eastAsia="仿宋_GB2312" w:cs="仿宋_GB2312"/>
          <w:color w:val="auto"/>
          <w:kern w:val="0"/>
          <w:sz w:val="32"/>
          <w:szCs w:val="32"/>
          <w:lang w:eastAsia="zh-CN"/>
        </w:rPr>
        <w:t>购机补贴实施工作经费</w:t>
      </w:r>
      <w:r>
        <w:rPr>
          <w:rFonts w:ascii="仿宋_GB2312" w:hAnsi="Times New Roman" w:eastAsia="仿宋_GB2312" w:cs="仿宋_GB2312"/>
          <w:color w:val="auto"/>
          <w:kern w:val="0"/>
          <w:sz w:val="32"/>
          <w:szCs w:val="32"/>
        </w:rPr>
        <w:t>”</w:t>
      </w:r>
      <w:r>
        <w:rPr>
          <w:rFonts w:hint="eastAsia" w:ascii="仿宋_GB2312" w:hAnsi="Times New Roman" w:eastAsia="仿宋_GB2312" w:cs="仿宋_GB2312"/>
          <w:color w:val="auto"/>
          <w:kern w:val="0"/>
          <w:sz w:val="32"/>
          <w:szCs w:val="32"/>
          <w:lang w:eastAsia="zh-CN"/>
        </w:rPr>
        <w:t>、“农机化技术推广工作经费”、“农机专项会议经费”、““双高”糖料蔗基地生产机械化工作经费”、“农机专项会议经费”共</w:t>
      </w:r>
      <w:r>
        <w:rPr>
          <w:rFonts w:hint="eastAsia" w:ascii="仿宋_GB2312" w:hAnsi="Times New Roman" w:eastAsia="仿宋_GB2312" w:cs="仿宋_GB2312"/>
          <w:color w:val="auto"/>
          <w:kern w:val="0"/>
          <w:sz w:val="32"/>
          <w:szCs w:val="32"/>
          <w:lang w:val="en-US" w:eastAsia="zh-CN"/>
        </w:rPr>
        <w:t>五</w:t>
      </w:r>
      <w:r>
        <w:rPr>
          <w:rFonts w:ascii="仿宋_GB2312" w:hAnsi="Times New Roman" w:eastAsia="仿宋_GB2312" w:cs="仿宋_GB2312"/>
          <w:color w:val="auto"/>
          <w:kern w:val="0"/>
          <w:sz w:val="32"/>
          <w:szCs w:val="32"/>
        </w:rPr>
        <w:t>个项目进行了绩效评价，涉及预算支出</w:t>
      </w:r>
      <w:r>
        <w:rPr>
          <w:rFonts w:hint="eastAsia" w:ascii="仿宋_GB2312" w:hAnsi="Times New Roman" w:eastAsia="仿宋_GB2312" w:cs="仿宋_GB2312"/>
          <w:color w:val="auto"/>
          <w:kern w:val="0"/>
          <w:sz w:val="32"/>
          <w:szCs w:val="32"/>
          <w:lang w:val="en-US" w:eastAsia="zh-CN"/>
        </w:rPr>
        <w:t>42</w:t>
      </w:r>
      <w:r>
        <w:rPr>
          <w:rFonts w:ascii="仿宋_GB2312" w:hAnsi="Times New Roman" w:eastAsia="仿宋_GB2312" w:cs="仿宋_GB2312"/>
          <w:color w:val="auto"/>
          <w:kern w:val="0"/>
          <w:sz w:val="32"/>
          <w:szCs w:val="32"/>
        </w:rPr>
        <w:t>万元。从评价情况来看</w:t>
      </w:r>
      <w:r>
        <w:rPr>
          <w:rFonts w:hint="eastAsia" w:ascii="仿宋_GB2312" w:hAnsi="Times New Roman" w:eastAsia="仿宋_GB2312" w:cs="仿宋_GB2312"/>
          <w:color w:val="auto"/>
          <w:kern w:val="0"/>
          <w:sz w:val="32"/>
          <w:szCs w:val="32"/>
          <w:lang w:eastAsia="zh-CN"/>
        </w:rPr>
        <w:t>，我单位</w:t>
      </w:r>
      <w:r>
        <w:rPr>
          <w:rFonts w:hint="eastAsia" w:ascii="仿宋_GB2312" w:hAnsi="Times New Roman" w:eastAsia="仿宋_GB2312" w:cs="仿宋_GB2312"/>
          <w:color w:val="auto"/>
          <w:kern w:val="0"/>
          <w:sz w:val="32"/>
          <w:szCs w:val="32"/>
          <w:lang w:val="en-US" w:eastAsia="zh-CN"/>
        </w:rPr>
        <w:t>2022年</w:t>
      </w:r>
      <w:r>
        <w:rPr>
          <w:rFonts w:hint="eastAsia" w:ascii="仿宋_GB2312" w:hAnsi="Times New Roman" w:eastAsia="仿宋_GB2312" w:cs="仿宋_GB2312"/>
          <w:color w:val="auto"/>
          <w:kern w:val="0"/>
          <w:sz w:val="32"/>
          <w:szCs w:val="32"/>
          <w:lang w:eastAsia="zh-CN"/>
        </w:rPr>
        <w:t>五个项目支出自评均为一等等次。都能按质按量的完成年初项目预算绩效目标</w:t>
      </w:r>
      <w:r>
        <w:rPr>
          <w:rFonts w:hint="eastAsia" w:ascii="仿宋" w:hAnsi="仿宋" w:eastAsia="仿宋" w:cs="仿宋"/>
          <w:color w:val="auto"/>
          <w:kern w:val="0"/>
          <w:sz w:val="32"/>
          <w:szCs w:val="32"/>
          <w:highlight w:val="none"/>
        </w:rPr>
        <w:t>。</w:t>
      </w:r>
      <w:r>
        <w:rPr>
          <w:rFonts w:hint="eastAsia" w:ascii="仿宋" w:hAnsi="仿宋" w:eastAsia="仿宋" w:cs="仿宋"/>
          <w:b/>
          <w:bCs/>
          <w:color w:val="auto"/>
          <w:kern w:val="0"/>
          <w:sz w:val="32"/>
          <w:szCs w:val="32"/>
          <w:highlight w:val="none"/>
        </w:rPr>
        <w:t> </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Times New Roman" w:eastAsia="仿宋_GB2312" w:cs="仿宋_GB2312"/>
          <w:color w:val="auto"/>
          <w:kern w:val="0"/>
          <w:sz w:val="32"/>
          <w:szCs w:val="32"/>
        </w:rPr>
      </w:pPr>
      <w:r>
        <w:rPr>
          <w:rFonts w:ascii="仿宋_GB2312" w:hAnsi="Times New Roman" w:eastAsia="仿宋_GB2312" w:cs="仿宋_GB2312"/>
          <w:color w:val="auto"/>
          <w:kern w:val="0"/>
          <w:sz w:val="32"/>
          <w:szCs w:val="32"/>
        </w:rPr>
        <w:t>组织对本单位开展整体支出绩效自评，涉及一般公共预算支出</w:t>
      </w:r>
      <w:r>
        <w:rPr>
          <w:rFonts w:hint="eastAsia" w:ascii="仿宋_GB2312" w:hAnsi="Times New Roman" w:eastAsia="仿宋_GB2312" w:cs="仿宋_GB2312"/>
          <w:color w:val="auto"/>
          <w:kern w:val="0"/>
          <w:sz w:val="32"/>
          <w:szCs w:val="32"/>
          <w:lang w:val="en-US" w:eastAsia="zh-CN"/>
        </w:rPr>
        <w:t>532.48</w:t>
      </w:r>
      <w:r>
        <w:rPr>
          <w:rFonts w:ascii="仿宋_GB2312" w:hAnsi="Times New Roman" w:eastAsia="仿宋_GB2312" w:cs="仿宋_GB2312"/>
          <w:color w:val="auto"/>
          <w:kern w:val="0"/>
          <w:sz w:val="32"/>
          <w:szCs w:val="32"/>
        </w:rPr>
        <w:t>万元。</w:t>
      </w:r>
      <w:r>
        <w:rPr>
          <w:rFonts w:hint="eastAsia" w:ascii="仿宋_GB2312" w:hAnsi="Times New Roman" w:eastAsia="仿宋_GB2312" w:cs="仿宋_GB2312"/>
          <w:color w:val="auto"/>
          <w:kern w:val="0"/>
          <w:sz w:val="32"/>
          <w:szCs w:val="32"/>
          <w:lang w:eastAsia="zh-CN"/>
        </w:rPr>
        <w:t>我单位</w:t>
      </w:r>
      <w:r>
        <w:rPr>
          <w:rFonts w:hint="eastAsia" w:ascii="仿宋_GB2312" w:hAnsi="仿宋_GB2312" w:eastAsia="仿宋_GB2312" w:cs="仿宋_GB2312"/>
          <w:color w:val="auto"/>
          <w:kern w:val="2"/>
          <w:sz w:val="32"/>
          <w:szCs w:val="32"/>
          <w:lang w:val="en-US" w:eastAsia="zh-CN" w:bidi="ar"/>
        </w:rPr>
        <w:t>本着强化绩效目标意识，提高部门整体资金使用效率，提升绩效管理水平的原则，通过目标计划梳理，工作数据采集，项目目标完成情况调查、社会调研等方式对单位2022年度预算资金使用情况进行检查，并评估资金使用效率和工作开展情况，</w:t>
      </w:r>
      <w:r>
        <w:rPr>
          <w:rFonts w:ascii="仿宋_GB2312" w:hAnsi="Times New Roman" w:eastAsia="仿宋_GB2312" w:cs="仿宋_GB2312"/>
          <w:color w:val="auto"/>
          <w:kern w:val="0"/>
          <w:sz w:val="32"/>
          <w:szCs w:val="32"/>
        </w:rPr>
        <w:t>从评价情况来看，</w:t>
      </w:r>
      <w:r>
        <w:rPr>
          <w:rFonts w:hint="eastAsia" w:ascii="仿宋_GB2312" w:hAnsi="Times New Roman" w:eastAsia="仿宋_GB2312" w:cs="仿宋_GB2312"/>
          <w:color w:val="auto"/>
          <w:kern w:val="0"/>
          <w:sz w:val="32"/>
          <w:szCs w:val="32"/>
          <w:lang w:eastAsia="zh-CN"/>
        </w:rPr>
        <w:t>我单位</w:t>
      </w:r>
      <w:r>
        <w:rPr>
          <w:rFonts w:hint="eastAsia" w:ascii="仿宋_GB2312" w:hAnsi="Times New Roman" w:eastAsia="仿宋_GB2312" w:cs="仿宋_GB2312"/>
          <w:color w:val="auto"/>
          <w:kern w:val="0"/>
          <w:sz w:val="32"/>
          <w:szCs w:val="32"/>
          <w:lang w:val="en-US" w:eastAsia="zh-CN"/>
        </w:rPr>
        <w:t>2022年整体支出绩效自评得分96.95分，自评为一等等次。</w:t>
      </w:r>
    </w:p>
    <w:p>
      <w:pPr>
        <w:keepNext w:val="0"/>
        <w:keepLines w:val="0"/>
        <w:pageBreakBefore w:val="0"/>
        <w:kinsoku/>
        <w:wordWrap/>
        <w:overflowPunct/>
        <w:topLinePunct w:val="0"/>
        <w:bidi w:val="0"/>
        <w:snapToGrid/>
        <w:spacing w:line="560" w:lineRule="exact"/>
        <w:ind w:firstLine="643" w:firstLineChars="200"/>
        <w:jc w:val="left"/>
        <w:textAlignment w:val="auto"/>
        <w:rPr>
          <w:rFonts w:ascii="仿宋" w:hAnsi="仿宋" w:eastAsia="仿宋" w:cs="仿宋"/>
          <w:b/>
          <w:bCs/>
          <w:color w:val="auto"/>
          <w:sz w:val="32"/>
          <w:szCs w:val="32"/>
        </w:rPr>
      </w:pPr>
      <w:r>
        <w:rPr>
          <w:rFonts w:hint="eastAsia" w:ascii="仿宋" w:hAnsi="仿宋" w:eastAsia="仿宋" w:cs="仿宋"/>
          <w:b/>
          <w:bCs/>
          <w:color w:val="auto"/>
          <w:sz w:val="32"/>
          <w:szCs w:val="32"/>
        </w:rPr>
        <w:t>2.部门决算中项目绩效自评结果</w:t>
      </w:r>
    </w:p>
    <w:p>
      <w:pPr>
        <w:keepNext w:val="0"/>
        <w:keepLines w:val="0"/>
        <w:pageBreakBefore w:val="0"/>
        <w:kinsoku/>
        <w:wordWrap/>
        <w:overflowPunct/>
        <w:topLinePunct w:val="0"/>
        <w:bidi w:val="0"/>
        <w:snapToGrid/>
        <w:spacing w:line="5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我</w:t>
      </w:r>
      <w:r>
        <w:rPr>
          <w:rFonts w:hint="eastAsia" w:ascii="仿宋" w:hAnsi="仿宋" w:eastAsia="仿宋" w:cs="仿宋"/>
          <w:color w:val="auto"/>
          <w:sz w:val="32"/>
          <w:szCs w:val="32"/>
          <w:lang w:eastAsia="zh-CN"/>
        </w:rPr>
        <w:t>单位</w:t>
      </w:r>
      <w:r>
        <w:rPr>
          <w:rFonts w:hint="eastAsia" w:ascii="仿宋" w:hAnsi="仿宋" w:eastAsia="仿宋" w:cs="仿宋"/>
          <w:color w:val="auto"/>
          <w:sz w:val="32"/>
          <w:szCs w:val="32"/>
        </w:rPr>
        <w:t>根据年初设定的绩效目标</w:t>
      </w:r>
      <w:r>
        <w:rPr>
          <w:rFonts w:hint="eastAsia" w:ascii="仿宋" w:hAnsi="仿宋" w:eastAsia="仿宋" w:cs="仿宋"/>
          <w:color w:val="auto"/>
          <w:sz w:val="32"/>
          <w:szCs w:val="32"/>
          <w:lang w:eastAsia="zh-CN"/>
        </w:rPr>
        <w:t>：</w:t>
      </w:r>
    </w:p>
    <w:p>
      <w:pPr>
        <w:keepNext w:val="0"/>
        <w:keepLines w:val="0"/>
        <w:pageBreakBefore w:val="0"/>
        <w:numPr>
          <w:ilvl w:val="0"/>
          <w:numId w:val="3"/>
        </w:numPr>
        <w:kinsoku/>
        <w:wordWrap/>
        <w:overflowPunct/>
        <w:topLinePunct w:val="0"/>
        <w:bidi w:val="0"/>
        <w:snapToGrid/>
        <w:spacing w:line="56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购机补贴实施工作经费</w:t>
      </w:r>
      <w:r>
        <w:rPr>
          <w:rFonts w:hint="eastAsia" w:ascii="仿宋" w:hAnsi="仿宋" w:eastAsia="仿宋" w:cs="仿宋"/>
          <w:color w:val="auto"/>
          <w:sz w:val="32"/>
          <w:szCs w:val="32"/>
        </w:rPr>
        <w:t>项目自评得分为</w:t>
      </w:r>
      <w:r>
        <w:rPr>
          <w:rFonts w:hint="eastAsia" w:ascii="仿宋" w:hAnsi="仿宋" w:eastAsia="仿宋" w:cs="仿宋"/>
          <w:color w:val="auto"/>
          <w:sz w:val="32"/>
          <w:szCs w:val="32"/>
          <w:lang w:val="en-US" w:eastAsia="zh-CN"/>
        </w:rPr>
        <w:t>99.88</w:t>
      </w:r>
      <w:r>
        <w:rPr>
          <w:rFonts w:hint="eastAsia" w:ascii="仿宋" w:hAnsi="仿宋" w:eastAsia="仿宋" w:cs="仿宋"/>
          <w:color w:val="auto"/>
          <w:sz w:val="32"/>
          <w:szCs w:val="32"/>
        </w:rPr>
        <w:t>分，项目全年预算数为</w:t>
      </w:r>
      <w:r>
        <w:rPr>
          <w:rFonts w:hint="eastAsia" w:ascii="仿宋" w:hAnsi="仿宋" w:eastAsia="仿宋" w:cs="仿宋"/>
          <w:color w:val="auto"/>
          <w:sz w:val="32"/>
          <w:szCs w:val="32"/>
          <w:lang w:val="en-US" w:eastAsia="zh-CN"/>
        </w:rPr>
        <w:t>18</w:t>
      </w:r>
      <w:r>
        <w:rPr>
          <w:rFonts w:hint="eastAsia" w:ascii="仿宋" w:hAnsi="仿宋" w:eastAsia="仿宋" w:cs="仿宋"/>
          <w:color w:val="auto"/>
          <w:sz w:val="32"/>
          <w:szCs w:val="32"/>
        </w:rPr>
        <w:t>万元，执行数为</w:t>
      </w:r>
      <w:r>
        <w:rPr>
          <w:rFonts w:hint="eastAsia" w:ascii="仿宋" w:hAnsi="仿宋" w:eastAsia="仿宋" w:cs="仿宋"/>
          <w:color w:val="auto"/>
          <w:sz w:val="32"/>
          <w:szCs w:val="32"/>
          <w:lang w:val="en-US" w:eastAsia="zh-CN"/>
        </w:rPr>
        <w:t>17.786</w:t>
      </w:r>
      <w:r>
        <w:rPr>
          <w:rFonts w:hint="eastAsia" w:ascii="仿宋" w:hAnsi="仿宋" w:eastAsia="仿宋" w:cs="仿宋"/>
          <w:color w:val="auto"/>
          <w:sz w:val="32"/>
          <w:szCs w:val="32"/>
        </w:rPr>
        <w:t>万元，完成预算的</w:t>
      </w:r>
      <w:r>
        <w:rPr>
          <w:rFonts w:hint="eastAsia" w:ascii="仿宋" w:hAnsi="仿宋" w:eastAsia="仿宋" w:cs="仿宋"/>
          <w:color w:val="auto"/>
          <w:sz w:val="32"/>
          <w:szCs w:val="32"/>
          <w:lang w:val="en-US" w:eastAsia="zh-CN"/>
        </w:rPr>
        <w:t>98.81</w:t>
      </w:r>
      <w:r>
        <w:rPr>
          <w:rFonts w:hint="eastAsia" w:ascii="仿宋" w:hAnsi="仿宋" w:eastAsia="仿宋" w:cs="仿宋"/>
          <w:color w:val="auto"/>
          <w:sz w:val="32"/>
          <w:szCs w:val="32"/>
        </w:rPr>
        <w:t>%。发现的主要问题及原因：</w:t>
      </w:r>
      <w:r>
        <w:rPr>
          <w:rFonts w:hint="eastAsia" w:ascii="仿宋" w:hAnsi="仿宋" w:eastAsia="仿宋" w:cs="仿宋"/>
          <w:color w:val="auto"/>
          <w:sz w:val="32"/>
          <w:szCs w:val="32"/>
          <w:lang w:eastAsia="zh-CN"/>
        </w:rPr>
        <w:t>预算资金使用未达</w:t>
      </w:r>
      <w:r>
        <w:rPr>
          <w:rFonts w:hint="eastAsia" w:ascii="仿宋" w:hAnsi="仿宋" w:eastAsia="仿宋" w:cs="仿宋"/>
          <w:color w:val="auto"/>
          <w:sz w:val="32"/>
          <w:szCs w:val="32"/>
          <w:lang w:val="en-US" w:eastAsia="zh-CN"/>
        </w:rPr>
        <w:t>100%，原因是依据财政的文件要求压缩三公两会及一般性支出</w:t>
      </w:r>
      <w:r>
        <w:rPr>
          <w:rFonts w:hint="eastAsia" w:ascii="仿宋" w:hAnsi="仿宋" w:eastAsia="仿宋" w:cs="仿宋"/>
          <w:color w:val="auto"/>
          <w:sz w:val="32"/>
          <w:szCs w:val="32"/>
        </w:rPr>
        <w:t>。下一步改进措施：</w:t>
      </w:r>
      <w:r>
        <w:rPr>
          <w:rFonts w:hint="eastAsia" w:ascii="仿宋" w:hAnsi="仿宋" w:eastAsia="仿宋" w:cs="仿宋"/>
          <w:color w:val="auto"/>
          <w:sz w:val="32"/>
          <w:szCs w:val="32"/>
          <w:lang w:eastAsia="zh-CN"/>
        </w:rPr>
        <w:t>提高项目预算资金的使用率</w:t>
      </w:r>
      <w:r>
        <w:rPr>
          <w:rFonts w:hint="eastAsia" w:ascii="仿宋" w:hAnsi="仿宋" w:eastAsia="仿宋" w:cs="仿宋"/>
          <w:color w:val="auto"/>
          <w:sz w:val="32"/>
          <w:szCs w:val="32"/>
          <w:lang w:val="en-US" w:eastAsia="zh-CN"/>
        </w:rPr>
        <w:t>。</w:t>
      </w:r>
    </w:p>
    <w:p>
      <w:pPr>
        <w:keepNext w:val="0"/>
        <w:keepLines w:val="0"/>
        <w:pageBreakBefore w:val="0"/>
        <w:numPr>
          <w:ilvl w:val="0"/>
          <w:numId w:val="3"/>
        </w:numPr>
        <w:kinsoku/>
        <w:wordWrap/>
        <w:overflowPunct/>
        <w:topLinePunct w:val="0"/>
        <w:bidi w:val="0"/>
        <w:snapToGrid/>
        <w:spacing w:line="560" w:lineRule="exact"/>
        <w:ind w:firstLine="640" w:firstLineChars="200"/>
        <w:jc w:val="left"/>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农机化技术推广工作经费项目自评98.09分，项目全年预算数11万元，执行数为10万元，完成预算的90.91%。主要问题及原因是：农机推广工作经费由本级财政拨款预算10万元和财政非税回拨款项1万元组成，2022年由于新冠疫情影响，未得到财政非税回拨款项。故预算执行率未达100%。下一改进措施：提高项目预算资金使用率。</w:t>
      </w:r>
    </w:p>
    <w:p>
      <w:pPr>
        <w:keepNext w:val="0"/>
        <w:keepLines w:val="0"/>
        <w:pageBreakBefore w:val="0"/>
        <w:numPr>
          <w:ilvl w:val="0"/>
          <w:numId w:val="3"/>
        </w:numPr>
        <w:kinsoku/>
        <w:wordWrap/>
        <w:overflowPunct/>
        <w:topLinePunct w:val="0"/>
        <w:bidi w:val="0"/>
        <w:snapToGrid/>
        <w:spacing w:line="560" w:lineRule="exact"/>
        <w:ind w:left="0" w:leftChars="0"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“双高”糖料蔗基地生产机械化工作经费项目自评100分，项目全年预算数为5万元，执行数为5万元，完成预算的100%。</w:t>
      </w:r>
    </w:p>
    <w:p>
      <w:pPr>
        <w:keepNext w:val="0"/>
        <w:keepLines w:val="0"/>
        <w:pageBreakBefore w:val="0"/>
        <w:numPr>
          <w:ilvl w:val="0"/>
          <w:numId w:val="3"/>
        </w:numPr>
        <w:kinsoku/>
        <w:wordWrap/>
        <w:overflowPunct/>
        <w:topLinePunct w:val="0"/>
        <w:bidi w:val="0"/>
        <w:snapToGrid/>
        <w:spacing w:line="240" w:lineRule="auto"/>
        <w:ind w:left="0" w:leftChars="0"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“平安农机”建设专项工作经费项目自评100分项目全年预算数为5万元，执行数为5万元，完成预算的100%。        </w:t>
      </w:r>
    </w:p>
    <w:p>
      <w:pPr>
        <w:keepNext w:val="0"/>
        <w:keepLines w:val="0"/>
        <w:pageBreakBefore w:val="0"/>
        <w:numPr>
          <w:ilvl w:val="0"/>
          <w:numId w:val="0"/>
        </w:numPr>
        <w:kinsoku/>
        <w:wordWrap/>
        <w:overflowPunct/>
        <w:topLinePunct w:val="0"/>
        <w:bidi w:val="0"/>
        <w:snapToGrid/>
        <w:spacing w:line="240" w:lineRule="auto"/>
        <w:ind w:firstLine="640" w:firstLineChars="200"/>
        <w:jc w:val="left"/>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农机专项会议经费项目自评93.03分，项目全年预算数3万元，执行数为0.91万元，完成预算数的30.29%。主要问题及原因：，2022年因新冠疫情影响，原计划很多会议被取消。下一步改进措施：提高项目资金使用率。</w:t>
      </w:r>
    </w:p>
    <w:p>
      <w:pPr>
        <w:jc w:val="center"/>
        <w:rPr>
          <w:rFonts w:ascii="黑体" w:hAnsi="黑体" w:eastAsia="黑体" w:cs="黑体"/>
          <w:color w:val="auto"/>
          <w:sz w:val="32"/>
          <w:szCs w:val="32"/>
        </w:rPr>
      </w:pPr>
      <w:r>
        <w:rPr>
          <w:rFonts w:hint="eastAsia" w:ascii="黑体" w:hAnsi="黑体" w:eastAsia="黑体" w:cs="黑体"/>
          <w:color w:val="auto"/>
          <w:sz w:val="32"/>
          <w:szCs w:val="32"/>
        </w:rPr>
        <w:t>第四部分  名词解释</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一、财政拨款收入：指</w:t>
      </w:r>
      <w:r>
        <w:rPr>
          <w:rFonts w:ascii="仿宋" w:hAnsi="仿宋" w:eastAsia="仿宋" w:cs="仿宋"/>
          <w:color w:val="auto"/>
          <w:sz w:val="32"/>
        </w:rPr>
        <w:t>河池市财政部门当年拨付的资金。</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二、事业收入：指事业单位开展专业业务活动及辅助活动所取得的收入。</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三、经营收入：指事业单位在专业业务活动及其辅助活动之外开展非独立核算经营活动取得的收入。</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四、其他收入：指除上述“财政拨款收入”“事业收入”“经营收入”等以外的收入。</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五、用事业基金弥补收支差额指事业单位在当年的“财政拨款收入”“事业收入”“经营收入”“其他收入”不足以安排当年支出的情况下，使用非财政拨款结余弥补本年度收支缺口的资金。 </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六、年初结转和结余：指以前年度尚未完成、结转到本年 按有关规定继续使用的资金。 </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七、结余分配：指事业单位按规定提取的职工福利基金、事业基金和缴纳的所得税，以及建设单位按规定应交回的基本建设竣工项目结余资金。 </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八、年末结转和结余：指本年度或以前年度预算安排、因客观条件发生变化无法按原计划实施，需要延迟到以后年度按有关规定继续使用的资金。 </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九、基本支出：指为保障机构正常运转、完成日常工作任务而发生的人员支出和公用支出。 </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十、项目支出：指在基本支出之外为完成特定行政任务和事业发展目标所发生的支出。 </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十一、经营支出：指事业单位在专业业务活动及其辅助活动之外开展非独立核算经营活动发生的支出。</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十二、“三公”经费：纳入</w:t>
      </w:r>
      <w:r>
        <w:rPr>
          <w:rFonts w:ascii="仿宋" w:hAnsi="仿宋" w:eastAsia="仿宋" w:cs="仿宋"/>
          <w:color w:val="auto"/>
          <w:sz w:val="32"/>
        </w:rPr>
        <w:t>河池市财政预决算管理的“三公”经费，是指自治区本级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bookmarkEnd w:id="4"/>
    <w:sectPr>
      <w:pgSz w:w="11906" w:h="16838"/>
      <w:pgMar w:top="1440" w:right="1800" w:bottom="1440" w:left="1800"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F86D39"/>
    <w:multiLevelType w:val="singleLevel"/>
    <w:tmpl w:val="9BF86D39"/>
    <w:lvl w:ilvl="0" w:tentative="0">
      <w:start w:val="1"/>
      <w:numFmt w:val="chineseCounting"/>
      <w:suff w:val="nothing"/>
      <w:lvlText w:val="（%1）"/>
      <w:lvlJc w:val="left"/>
      <w:pPr>
        <w:ind w:left="0" w:firstLine="420"/>
      </w:pPr>
      <w:rPr>
        <w:rFonts w:hint="eastAsia"/>
        <w:color w:val="auto"/>
        <w:sz w:val="32"/>
        <w:szCs w:val="32"/>
      </w:rPr>
    </w:lvl>
  </w:abstractNum>
  <w:abstractNum w:abstractNumId="1">
    <w:nsid w:val="DAB35A14"/>
    <w:multiLevelType w:val="singleLevel"/>
    <w:tmpl w:val="DAB35A14"/>
    <w:lvl w:ilvl="0" w:tentative="0">
      <w:start w:val="1"/>
      <w:numFmt w:val="decimal"/>
      <w:suff w:val="nothing"/>
      <w:lvlText w:val="（%1）"/>
      <w:lvlJc w:val="left"/>
    </w:lvl>
  </w:abstractNum>
  <w:abstractNum w:abstractNumId="2">
    <w:nsid w:val="DB743884"/>
    <w:multiLevelType w:val="singleLevel"/>
    <w:tmpl w:val="DB743884"/>
    <w:lvl w:ilvl="0" w:tentative="0">
      <w:start w:val="1"/>
      <w:numFmt w:val="chineseCounting"/>
      <w:suff w:val="nothing"/>
      <w:lvlText w:val="（%1）"/>
      <w:lvlJc w:val="left"/>
      <w:pPr>
        <w:ind w:left="0" w:firstLine="420"/>
      </w:pPr>
      <w:rPr>
        <w:rFonts w:hint="eastAsia"/>
        <w:color w:val="auto"/>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YjI1Mjc0NjllNjhmMGM0ZjVhOTNlODYxNjVlN2MwYzgifQ=="/>
  </w:docVars>
  <w:rsids>
    <w:rsidRoot w:val="637D7558"/>
    <w:rsid w:val="00002C84"/>
    <w:rsid w:val="00022149"/>
    <w:rsid w:val="00047F6C"/>
    <w:rsid w:val="00093C26"/>
    <w:rsid w:val="00094B91"/>
    <w:rsid w:val="000B06D8"/>
    <w:rsid w:val="000E5855"/>
    <w:rsid w:val="001418A5"/>
    <w:rsid w:val="00147D40"/>
    <w:rsid w:val="00156EF2"/>
    <w:rsid w:val="001D7B97"/>
    <w:rsid w:val="00210E20"/>
    <w:rsid w:val="00223F38"/>
    <w:rsid w:val="00233613"/>
    <w:rsid w:val="00254DBE"/>
    <w:rsid w:val="00272FFB"/>
    <w:rsid w:val="00275CAB"/>
    <w:rsid w:val="0028709C"/>
    <w:rsid w:val="0029328F"/>
    <w:rsid w:val="002B2731"/>
    <w:rsid w:val="003254BB"/>
    <w:rsid w:val="00382867"/>
    <w:rsid w:val="003A4973"/>
    <w:rsid w:val="003C1C96"/>
    <w:rsid w:val="003C69F8"/>
    <w:rsid w:val="003E40BA"/>
    <w:rsid w:val="003E7165"/>
    <w:rsid w:val="0041579D"/>
    <w:rsid w:val="00427074"/>
    <w:rsid w:val="00434D04"/>
    <w:rsid w:val="004701CB"/>
    <w:rsid w:val="004C4D73"/>
    <w:rsid w:val="004D7D0E"/>
    <w:rsid w:val="005234F5"/>
    <w:rsid w:val="00531745"/>
    <w:rsid w:val="00574196"/>
    <w:rsid w:val="006123AD"/>
    <w:rsid w:val="00645B83"/>
    <w:rsid w:val="0066173C"/>
    <w:rsid w:val="006D677A"/>
    <w:rsid w:val="007249B6"/>
    <w:rsid w:val="007640BB"/>
    <w:rsid w:val="00771953"/>
    <w:rsid w:val="00776E0B"/>
    <w:rsid w:val="007A0641"/>
    <w:rsid w:val="007C52E7"/>
    <w:rsid w:val="007C54EA"/>
    <w:rsid w:val="007C776D"/>
    <w:rsid w:val="007D7CE3"/>
    <w:rsid w:val="007E2F6C"/>
    <w:rsid w:val="00817C69"/>
    <w:rsid w:val="00823A94"/>
    <w:rsid w:val="00824151"/>
    <w:rsid w:val="008315A9"/>
    <w:rsid w:val="00834354"/>
    <w:rsid w:val="008F1B95"/>
    <w:rsid w:val="008F4AE2"/>
    <w:rsid w:val="008F6882"/>
    <w:rsid w:val="00934C72"/>
    <w:rsid w:val="00946CCF"/>
    <w:rsid w:val="0097721B"/>
    <w:rsid w:val="009831F8"/>
    <w:rsid w:val="009B3E00"/>
    <w:rsid w:val="009D1667"/>
    <w:rsid w:val="00A07CCE"/>
    <w:rsid w:val="00A27624"/>
    <w:rsid w:val="00A358E6"/>
    <w:rsid w:val="00AA78EE"/>
    <w:rsid w:val="00AB53E1"/>
    <w:rsid w:val="00AE5F66"/>
    <w:rsid w:val="00B07A0B"/>
    <w:rsid w:val="00B22F28"/>
    <w:rsid w:val="00B37453"/>
    <w:rsid w:val="00B41C59"/>
    <w:rsid w:val="00B45479"/>
    <w:rsid w:val="00B60171"/>
    <w:rsid w:val="00B837AC"/>
    <w:rsid w:val="00BB4FB8"/>
    <w:rsid w:val="00BD315D"/>
    <w:rsid w:val="00C3279E"/>
    <w:rsid w:val="00C34857"/>
    <w:rsid w:val="00CA2E26"/>
    <w:rsid w:val="00CC5DBB"/>
    <w:rsid w:val="00D00918"/>
    <w:rsid w:val="00D14326"/>
    <w:rsid w:val="00D772CC"/>
    <w:rsid w:val="00D80281"/>
    <w:rsid w:val="00D84F30"/>
    <w:rsid w:val="00D878A6"/>
    <w:rsid w:val="00DE74BD"/>
    <w:rsid w:val="00DE7D07"/>
    <w:rsid w:val="00DF2240"/>
    <w:rsid w:val="00E468B9"/>
    <w:rsid w:val="00EB7822"/>
    <w:rsid w:val="00EC50A9"/>
    <w:rsid w:val="00ED04DB"/>
    <w:rsid w:val="00F21455"/>
    <w:rsid w:val="00F5354B"/>
    <w:rsid w:val="00F95135"/>
    <w:rsid w:val="00F9658C"/>
    <w:rsid w:val="00F978FD"/>
    <w:rsid w:val="00FA738E"/>
    <w:rsid w:val="00FC438B"/>
    <w:rsid w:val="01234E98"/>
    <w:rsid w:val="015F1951"/>
    <w:rsid w:val="01D64122"/>
    <w:rsid w:val="01E76277"/>
    <w:rsid w:val="01EE5029"/>
    <w:rsid w:val="020C171D"/>
    <w:rsid w:val="0216715F"/>
    <w:rsid w:val="02C43E9B"/>
    <w:rsid w:val="02E0291A"/>
    <w:rsid w:val="034D14C0"/>
    <w:rsid w:val="045F303F"/>
    <w:rsid w:val="049E4171"/>
    <w:rsid w:val="04CC3652"/>
    <w:rsid w:val="04E54546"/>
    <w:rsid w:val="07B0770E"/>
    <w:rsid w:val="07B26097"/>
    <w:rsid w:val="0A1A010A"/>
    <w:rsid w:val="0A482F82"/>
    <w:rsid w:val="0AC47DDC"/>
    <w:rsid w:val="0D100297"/>
    <w:rsid w:val="0D202B45"/>
    <w:rsid w:val="0DA5338F"/>
    <w:rsid w:val="0F8D4C87"/>
    <w:rsid w:val="10505FAA"/>
    <w:rsid w:val="10FB2618"/>
    <w:rsid w:val="112537EC"/>
    <w:rsid w:val="11E56B5B"/>
    <w:rsid w:val="125C77AB"/>
    <w:rsid w:val="12904E25"/>
    <w:rsid w:val="133F0A58"/>
    <w:rsid w:val="14CB726E"/>
    <w:rsid w:val="16353A21"/>
    <w:rsid w:val="164A295D"/>
    <w:rsid w:val="16813C02"/>
    <w:rsid w:val="16AE77B4"/>
    <w:rsid w:val="17A61ABE"/>
    <w:rsid w:val="17E92249"/>
    <w:rsid w:val="18D304F1"/>
    <w:rsid w:val="19F32577"/>
    <w:rsid w:val="19F45B80"/>
    <w:rsid w:val="1AE14A63"/>
    <w:rsid w:val="1B336258"/>
    <w:rsid w:val="1B4C295A"/>
    <w:rsid w:val="1B973C63"/>
    <w:rsid w:val="1BA1001E"/>
    <w:rsid w:val="1BDE7ABF"/>
    <w:rsid w:val="1E664F5B"/>
    <w:rsid w:val="1EB34BE1"/>
    <w:rsid w:val="1EDB42F2"/>
    <w:rsid w:val="1F4A366E"/>
    <w:rsid w:val="1FB03FD0"/>
    <w:rsid w:val="1FD5577C"/>
    <w:rsid w:val="20C83F6B"/>
    <w:rsid w:val="215E639F"/>
    <w:rsid w:val="219F10D0"/>
    <w:rsid w:val="21EC3183"/>
    <w:rsid w:val="225E72CD"/>
    <w:rsid w:val="226D5800"/>
    <w:rsid w:val="246E2F77"/>
    <w:rsid w:val="254B4E2B"/>
    <w:rsid w:val="2560231B"/>
    <w:rsid w:val="25A64B04"/>
    <w:rsid w:val="26CA0394"/>
    <w:rsid w:val="26CC2EB0"/>
    <w:rsid w:val="27271343"/>
    <w:rsid w:val="283D7C94"/>
    <w:rsid w:val="29480E03"/>
    <w:rsid w:val="2983634D"/>
    <w:rsid w:val="29E52804"/>
    <w:rsid w:val="2BB02055"/>
    <w:rsid w:val="2C575A56"/>
    <w:rsid w:val="2DA46689"/>
    <w:rsid w:val="2DCF7034"/>
    <w:rsid w:val="2F257714"/>
    <w:rsid w:val="2F2919D0"/>
    <w:rsid w:val="2F3275E5"/>
    <w:rsid w:val="2F5040E4"/>
    <w:rsid w:val="2F980EA6"/>
    <w:rsid w:val="30274161"/>
    <w:rsid w:val="30AA08EF"/>
    <w:rsid w:val="30D23D1C"/>
    <w:rsid w:val="31221CF5"/>
    <w:rsid w:val="31400178"/>
    <w:rsid w:val="327759C8"/>
    <w:rsid w:val="33185FE3"/>
    <w:rsid w:val="33380434"/>
    <w:rsid w:val="34B01C7B"/>
    <w:rsid w:val="34D67F04"/>
    <w:rsid w:val="34EE2E36"/>
    <w:rsid w:val="353D61D5"/>
    <w:rsid w:val="354D3A6C"/>
    <w:rsid w:val="36777241"/>
    <w:rsid w:val="36D00CB7"/>
    <w:rsid w:val="36EC39E0"/>
    <w:rsid w:val="374F2353"/>
    <w:rsid w:val="38A951DB"/>
    <w:rsid w:val="39003F4F"/>
    <w:rsid w:val="391839F8"/>
    <w:rsid w:val="39A25D67"/>
    <w:rsid w:val="3A331955"/>
    <w:rsid w:val="3ADB110F"/>
    <w:rsid w:val="3BD16BBF"/>
    <w:rsid w:val="3BD86C58"/>
    <w:rsid w:val="3D0D152A"/>
    <w:rsid w:val="3DF62756"/>
    <w:rsid w:val="3F1B7587"/>
    <w:rsid w:val="3FFB386D"/>
    <w:rsid w:val="41B16896"/>
    <w:rsid w:val="41E57B4F"/>
    <w:rsid w:val="42F12FC4"/>
    <w:rsid w:val="432A5874"/>
    <w:rsid w:val="432F26F6"/>
    <w:rsid w:val="43880F63"/>
    <w:rsid w:val="441C5A6F"/>
    <w:rsid w:val="44C44FCC"/>
    <w:rsid w:val="44CC7369"/>
    <w:rsid w:val="45464C32"/>
    <w:rsid w:val="454A1AA6"/>
    <w:rsid w:val="457F5108"/>
    <w:rsid w:val="45C63752"/>
    <w:rsid w:val="45C762B0"/>
    <w:rsid w:val="46951B6B"/>
    <w:rsid w:val="4A3E30AB"/>
    <w:rsid w:val="4AC14DAC"/>
    <w:rsid w:val="4D154C85"/>
    <w:rsid w:val="4D471547"/>
    <w:rsid w:val="4DB72B71"/>
    <w:rsid w:val="4EB255E9"/>
    <w:rsid w:val="4EEE34EC"/>
    <w:rsid w:val="4FD572DE"/>
    <w:rsid w:val="508F4E24"/>
    <w:rsid w:val="51461E90"/>
    <w:rsid w:val="51463753"/>
    <w:rsid w:val="53521F8B"/>
    <w:rsid w:val="53E22F47"/>
    <w:rsid w:val="54DE2851"/>
    <w:rsid w:val="54E82465"/>
    <w:rsid w:val="55450629"/>
    <w:rsid w:val="56692963"/>
    <w:rsid w:val="568B0F48"/>
    <w:rsid w:val="56AD207D"/>
    <w:rsid w:val="56BF20BE"/>
    <w:rsid w:val="5786217B"/>
    <w:rsid w:val="59337A15"/>
    <w:rsid w:val="59810274"/>
    <w:rsid w:val="5A407A4A"/>
    <w:rsid w:val="5A7640A3"/>
    <w:rsid w:val="5B4106C0"/>
    <w:rsid w:val="5CA96A00"/>
    <w:rsid w:val="5CE216F9"/>
    <w:rsid w:val="5CF730BC"/>
    <w:rsid w:val="5E0F60B1"/>
    <w:rsid w:val="5E5F0DCE"/>
    <w:rsid w:val="5EBB7FE7"/>
    <w:rsid w:val="5FA40A7B"/>
    <w:rsid w:val="5FD56D29"/>
    <w:rsid w:val="5FEC7F3F"/>
    <w:rsid w:val="60550510"/>
    <w:rsid w:val="60F74BC3"/>
    <w:rsid w:val="616B1851"/>
    <w:rsid w:val="617611C7"/>
    <w:rsid w:val="617D3BF8"/>
    <w:rsid w:val="61841F6A"/>
    <w:rsid w:val="623007A9"/>
    <w:rsid w:val="63210129"/>
    <w:rsid w:val="63213A92"/>
    <w:rsid w:val="633C413C"/>
    <w:rsid w:val="637D7558"/>
    <w:rsid w:val="644F19AC"/>
    <w:rsid w:val="6596279B"/>
    <w:rsid w:val="65AA4920"/>
    <w:rsid w:val="66BB5605"/>
    <w:rsid w:val="67694F1E"/>
    <w:rsid w:val="67D0065F"/>
    <w:rsid w:val="67FA0C0D"/>
    <w:rsid w:val="6865105C"/>
    <w:rsid w:val="688B141E"/>
    <w:rsid w:val="69597934"/>
    <w:rsid w:val="6B1F1E51"/>
    <w:rsid w:val="6B964DDC"/>
    <w:rsid w:val="6C027DB0"/>
    <w:rsid w:val="6C783074"/>
    <w:rsid w:val="6C9A4242"/>
    <w:rsid w:val="6D9E65C6"/>
    <w:rsid w:val="6DA81947"/>
    <w:rsid w:val="6E7A1325"/>
    <w:rsid w:val="6EB66DE2"/>
    <w:rsid w:val="6ED3075F"/>
    <w:rsid w:val="6F2A2D4B"/>
    <w:rsid w:val="6F300F49"/>
    <w:rsid w:val="6F8A0C1E"/>
    <w:rsid w:val="703F45D4"/>
    <w:rsid w:val="715D6546"/>
    <w:rsid w:val="71956476"/>
    <w:rsid w:val="71BE069E"/>
    <w:rsid w:val="721879F9"/>
    <w:rsid w:val="727442DD"/>
    <w:rsid w:val="73953409"/>
    <w:rsid w:val="73E069A3"/>
    <w:rsid w:val="753B6D5F"/>
    <w:rsid w:val="75B60701"/>
    <w:rsid w:val="77A613DD"/>
    <w:rsid w:val="77EC380F"/>
    <w:rsid w:val="78104AA8"/>
    <w:rsid w:val="78E257C5"/>
    <w:rsid w:val="790D5B28"/>
    <w:rsid w:val="794B35BE"/>
    <w:rsid w:val="795D3D1D"/>
    <w:rsid w:val="79B17BC5"/>
    <w:rsid w:val="79C37489"/>
    <w:rsid w:val="7B0A3A31"/>
    <w:rsid w:val="7B160A73"/>
    <w:rsid w:val="7B3360ED"/>
    <w:rsid w:val="7B8E6DCB"/>
    <w:rsid w:val="7BC462D5"/>
    <w:rsid w:val="7BDF037E"/>
    <w:rsid w:val="7BF50948"/>
    <w:rsid w:val="7CB81EDF"/>
    <w:rsid w:val="7CD0676F"/>
    <w:rsid w:val="7CE66A78"/>
    <w:rsid w:val="7CE75AD0"/>
    <w:rsid w:val="7D23564C"/>
    <w:rsid w:val="7D5E062D"/>
    <w:rsid w:val="7DF76CD8"/>
    <w:rsid w:val="7E1803F3"/>
    <w:rsid w:val="7E8458A8"/>
    <w:rsid w:val="7F416105"/>
    <w:rsid w:val="7F6A1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bCs/>
    </w:rPr>
  </w:style>
  <w:style w:type="character" w:styleId="9">
    <w:name w:val="Emphasis"/>
    <w:basedOn w:val="7"/>
    <w:qFormat/>
    <w:uiPriority w:val="0"/>
    <w:rPr>
      <w:i/>
    </w:rPr>
  </w:style>
  <w:style w:type="paragraph" w:customStyle="1" w:styleId="10">
    <w:name w:val="Default"/>
    <w:basedOn w:val="1"/>
    <w:next w:val="1"/>
    <w:semiHidden/>
    <w:qFormat/>
    <w:uiPriority w:val="0"/>
    <w:pPr>
      <w:autoSpaceDE w:val="0"/>
      <w:autoSpaceDN w:val="0"/>
      <w:adjustRightInd w:val="0"/>
      <w:jc w:val="left"/>
    </w:pPr>
    <w:rPr>
      <w:rFonts w:ascii="方正仿宋_GBK" w:hAnsi="方正仿宋_GBK"/>
      <w:color w:val="000000"/>
      <w:kern w:val="0"/>
      <w:sz w:val="24"/>
      <w:szCs w:val="24"/>
    </w:rPr>
  </w:style>
  <w:style w:type="character" w:customStyle="1" w:styleId="11">
    <w:name w:val="页眉 Char"/>
    <w:basedOn w:val="7"/>
    <w:link w:val="4"/>
    <w:qFormat/>
    <w:uiPriority w:val="0"/>
    <w:rPr>
      <w:rFonts w:asciiTheme="minorHAnsi" w:hAnsiTheme="minorHAnsi" w:eastAsiaTheme="minorEastAsia" w:cstheme="minorBidi"/>
      <w:kern w:val="2"/>
      <w:sz w:val="18"/>
      <w:szCs w:val="18"/>
    </w:rPr>
  </w:style>
  <w:style w:type="character" w:customStyle="1" w:styleId="12">
    <w:name w:val="页脚 Char"/>
    <w:basedOn w:val="7"/>
    <w:link w:val="3"/>
    <w:qFormat/>
    <w:uiPriority w:val="0"/>
    <w:rPr>
      <w:rFonts w:asciiTheme="minorHAnsi" w:hAnsiTheme="minorHAnsi" w:eastAsiaTheme="minorEastAsia" w:cstheme="minorBidi"/>
      <w:kern w:val="2"/>
      <w:sz w:val="18"/>
      <w:szCs w:val="18"/>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决算收入支出图表</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countries</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一般公共预算财政拨款收入</c:v>
                </c:pt>
                <c:pt idx="1">
                  <c:v>其他收入</c:v>
                </c:pt>
              </c:strCache>
            </c:strRef>
          </c:cat>
          <c:val>
            <c:numRef>
              <c:f>Sheet1!$B$2:$B$3</c:f>
              <c:numCache>
                <c:formatCode>General</c:formatCode>
                <c:ptCount val="2"/>
                <c:pt idx="0">
                  <c:v>532.48</c:v>
                </c:pt>
                <c:pt idx="1">
                  <c:v>0.2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对个人和家庭的补助</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Sheet1!$A$2:$A$13</c:f>
              <c:strCache>
                <c:ptCount val="12"/>
                <c:pt idx="0">
                  <c:v>30301</c:v>
                </c:pt>
                <c:pt idx="1">
                  <c:v>30302</c:v>
                </c:pt>
                <c:pt idx="2">
                  <c:v>30303</c:v>
                </c:pt>
                <c:pt idx="3">
                  <c:v>30304</c:v>
                </c:pt>
                <c:pt idx="4">
                  <c:v>30305</c:v>
                </c:pt>
                <c:pt idx="5">
                  <c:v>30306</c:v>
                </c:pt>
                <c:pt idx="6">
                  <c:v>30307</c:v>
                </c:pt>
                <c:pt idx="7">
                  <c:v>30308</c:v>
                </c:pt>
                <c:pt idx="8">
                  <c:v>30309</c:v>
                </c:pt>
                <c:pt idx="9">
                  <c:v>30310</c:v>
                </c:pt>
                <c:pt idx="10">
                  <c:v>30311</c:v>
                </c:pt>
                <c:pt idx="11">
                  <c:v>30399</c:v>
                </c:pt>
              </c:strCache>
            </c:strRef>
          </c:cat>
          <c:val>
            <c:numRef>
              <c:f>Sheet1!$B$2:$B$13</c:f>
              <c:numCache>
                <c:formatCode>General</c:formatCode>
                <c:ptCount val="12"/>
                <c:pt idx="0">
                  <c:v>14.72</c:v>
                </c:pt>
                <c:pt idx="1">
                  <c:v>0</c:v>
                </c:pt>
                <c:pt idx="2">
                  <c:v>0</c:v>
                </c:pt>
                <c:pt idx="3">
                  <c:v>0</c:v>
                </c:pt>
                <c:pt idx="4">
                  <c:v>1.37</c:v>
                </c:pt>
                <c:pt idx="5">
                  <c:v>0</c:v>
                </c:pt>
                <c:pt idx="6">
                  <c:v>11.24</c:v>
                </c:pt>
                <c:pt idx="7">
                  <c:v>0</c:v>
                </c:pt>
                <c:pt idx="8">
                  <c:v>0</c:v>
                </c:pt>
                <c:pt idx="9">
                  <c:v>0</c:v>
                </c:pt>
                <c:pt idx="10">
                  <c:v>0</c:v>
                </c:pt>
                <c:pt idx="11">
                  <c:v>4.03</c:v>
                </c:pt>
              </c:numCache>
            </c:numRef>
          </c:val>
        </c:ser>
        <c:dLbls>
          <c:showLegendKey val="0"/>
          <c:showVal val="0"/>
          <c:showCatName val="0"/>
          <c:showSerName val="0"/>
          <c:showPercent val="0"/>
          <c:showBubbleSize val="0"/>
        </c:dLbls>
        <c:gapWidth val="219"/>
        <c:overlap val="-27"/>
        <c:axId val="75376512"/>
        <c:axId val="75378048"/>
      </c:barChart>
      <c:catAx>
        <c:axId val="753765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5378048"/>
        <c:crosses val="autoZero"/>
        <c:auto val="1"/>
        <c:lblAlgn val="ctr"/>
        <c:lblOffset val="100"/>
        <c:noMultiLvlLbl val="0"/>
      </c:catAx>
      <c:valAx>
        <c:axId val="7537804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537651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债务利息及费用支出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Sheet1!$A$2:$A$3</c:f>
              <c:strCache>
                <c:ptCount val="2"/>
                <c:pt idx="0">
                  <c:v>30701</c:v>
                </c:pt>
                <c:pt idx="1">
                  <c:v>30702</c:v>
                </c:pt>
              </c:strCache>
            </c:strRef>
          </c:cat>
          <c:val>
            <c:numRef>
              <c:f>Sheet1!$B$2:$B$3</c:f>
              <c:numCache>
                <c:formatCode>General</c:formatCode>
                <c:ptCount val="2"/>
                <c:pt idx="0">
                  <c:v>0</c:v>
                </c:pt>
                <c:pt idx="1">
                  <c:v>0</c:v>
                </c:pt>
              </c:numCache>
            </c:numRef>
          </c:val>
        </c:ser>
        <c:dLbls>
          <c:showLegendKey val="0"/>
          <c:showVal val="0"/>
          <c:showCatName val="0"/>
          <c:showSerName val="0"/>
          <c:showPercent val="0"/>
          <c:showBubbleSize val="0"/>
        </c:dLbls>
        <c:gapWidth val="219"/>
        <c:overlap val="-27"/>
        <c:axId val="75414528"/>
        <c:axId val="75420416"/>
      </c:barChart>
      <c:catAx>
        <c:axId val="7541452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5420416"/>
        <c:crosses val="autoZero"/>
        <c:auto val="1"/>
        <c:lblAlgn val="ctr"/>
        <c:lblOffset val="100"/>
        <c:noMultiLvlLbl val="0"/>
      </c:catAx>
      <c:valAx>
        <c:axId val="7542041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541452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资本性支出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Sheet1!$A$2:$A$17</c:f>
              <c:strCache>
                <c:ptCount val="16"/>
                <c:pt idx="0">
                  <c:v>31001</c:v>
                </c:pt>
                <c:pt idx="1">
                  <c:v>31002</c:v>
                </c:pt>
                <c:pt idx="2">
                  <c:v>31003</c:v>
                </c:pt>
                <c:pt idx="3">
                  <c:v>31005</c:v>
                </c:pt>
                <c:pt idx="4">
                  <c:v>31006</c:v>
                </c:pt>
                <c:pt idx="5">
                  <c:v>31007</c:v>
                </c:pt>
                <c:pt idx="6">
                  <c:v>31008</c:v>
                </c:pt>
                <c:pt idx="7">
                  <c:v>31009</c:v>
                </c:pt>
                <c:pt idx="8">
                  <c:v>31010</c:v>
                </c:pt>
                <c:pt idx="9">
                  <c:v>31011</c:v>
                </c:pt>
                <c:pt idx="10">
                  <c:v>31012</c:v>
                </c:pt>
                <c:pt idx="11">
                  <c:v>31013</c:v>
                </c:pt>
                <c:pt idx="12">
                  <c:v>31019</c:v>
                </c:pt>
                <c:pt idx="13">
                  <c:v>31021</c:v>
                </c:pt>
                <c:pt idx="14">
                  <c:v>31022</c:v>
                </c:pt>
                <c:pt idx="15">
                  <c:v>31099</c:v>
                </c:pt>
              </c:strCache>
            </c:strRef>
          </c:cat>
          <c:val>
            <c:numRef>
              <c:f>Sheet1!$B$2:$B$17</c:f>
              <c:numCache>
                <c:formatCode>General</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val>
        </c:ser>
        <c:dLbls>
          <c:showLegendKey val="0"/>
          <c:showVal val="0"/>
          <c:showCatName val="0"/>
          <c:showSerName val="0"/>
          <c:showPercent val="0"/>
          <c:showBubbleSize val="0"/>
        </c:dLbls>
        <c:gapWidth val="219"/>
        <c:overlap val="-27"/>
        <c:axId val="138039680"/>
        <c:axId val="138041216"/>
      </c:barChart>
      <c:catAx>
        <c:axId val="1380396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8041216"/>
        <c:crosses val="autoZero"/>
        <c:auto val="1"/>
        <c:lblAlgn val="ctr"/>
        <c:lblOffset val="100"/>
        <c:noMultiLvlLbl val="0"/>
      </c:catAx>
      <c:valAx>
        <c:axId val="13804121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803968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其他支出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Sheet1!$A$2:$A$6</c:f>
              <c:strCache>
                <c:ptCount val="5"/>
                <c:pt idx="0">
                  <c:v>39907</c:v>
                </c:pt>
                <c:pt idx="1">
                  <c:v>39908</c:v>
                </c:pt>
                <c:pt idx="2">
                  <c:v>39909</c:v>
                </c:pt>
                <c:pt idx="3">
                  <c:v>39910</c:v>
                </c:pt>
                <c:pt idx="4">
                  <c:v>39999</c:v>
                </c:pt>
              </c:strCache>
            </c:strRef>
          </c:cat>
          <c:val>
            <c:numRef>
              <c:f>Sheet1!$B$2:$B$6</c:f>
              <c:numCache>
                <c:formatCode>General</c:formatCode>
                <c:ptCount val="5"/>
                <c:pt idx="0">
                  <c:v>0</c:v>
                </c:pt>
                <c:pt idx="1">
                  <c:v>0</c:v>
                </c:pt>
                <c:pt idx="2">
                  <c:v>0</c:v>
                </c:pt>
                <c:pt idx="3">
                  <c:v>0</c:v>
                </c:pt>
                <c:pt idx="4">
                  <c:v>0</c:v>
                </c:pt>
              </c:numCache>
            </c:numRef>
          </c:val>
        </c:ser>
        <c:dLbls>
          <c:showLegendKey val="0"/>
          <c:showVal val="0"/>
          <c:showCatName val="0"/>
          <c:showSerName val="0"/>
          <c:showPercent val="0"/>
          <c:showBubbleSize val="0"/>
        </c:dLbls>
        <c:gapWidth val="219"/>
        <c:overlap val="-27"/>
        <c:axId val="140002816"/>
        <c:axId val="140004352"/>
      </c:barChart>
      <c:catAx>
        <c:axId val="14000281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0004352"/>
        <c:crosses val="autoZero"/>
        <c:auto val="1"/>
        <c:lblAlgn val="ctr"/>
        <c:lblOffset val="100"/>
        <c:noMultiLvlLbl val="0"/>
      </c:catAx>
      <c:valAx>
        <c:axId val="14000435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000281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支出决算图表</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delete val="1"/>
          </c:dLbls>
          <c:cat>
            <c:strRef>
              <c:f>Sheet1!$A$2:$A$6</c:f>
              <c:strCache>
                <c:ptCount val="5"/>
                <c:pt idx="0">
                  <c:v>教育支出</c:v>
                </c:pt>
                <c:pt idx="1">
                  <c:v>社会保障和就业支出</c:v>
                </c:pt>
                <c:pt idx="2">
                  <c:v>卫生健康支出</c:v>
                </c:pt>
                <c:pt idx="3">
                  <c:v>农林水支出</c:v>
                </c:pt>
                <c:pt idx="4">
                  <c:v>住房保障支出</c:v>
                </c:pt>
              </c:strCache>
            </c:strRef>
          </c:cat>
          <c:val>
            <c:numRef>
              <c:f>Sheet1!$B$2:$B$6</c:f>
              <c:numCache>
                <c:formatCode>General</c:formatCode>
                <c:ptCount val="5"/>
                <c:pt idx="0">
                  <c:v>4.71</c:v>
                </c:pt>
                <c:pt idx="1">
                  <c:v>67.39</c:v>
                </c:pt>
                <c:pt idx="2">
                  <c:v>67.48</c:v>
                </c:pt>
                <c:pt idx="3">
                  <c:v>674.06</c:v>
                </c:pt>
                <c:pt idx="4">
                  <c:v>49.52</c:v>
                </c:pt>
              </c:numCache>
            </c:numRef>
          </c:val>
        </c:ser>
        <c:ser>
          <c:idx val="1"/>
          <c:order val="1"/>
          <c:tx>
            <c:strRef>
              <c:f>Sheet1!$C$1</c:f>
              <c:strCache>
                <c:ptCount val="1"/>
                <c:pt idx="0">
                  <c:v>2022年</c:v>
                </c:pt>
              </c:strCache>
            </c:strRef>
          </c:tx>
          <c:spPr>
            <a:solidFill>
              <a:schemeClr val="accent2"/>
            </a:solidFill>
            <a:ln>
              <a:noFill/>
            </a:ln>
            <a:effectLst/>
          </c:spPr>
          <c:invertIfNegative val="0"/>
          <c:dLbls>
            <c:delete val="1"/>
          </c:dLbls>
          <c:cat>
            <c:strRef>
              <c:f>Sheet1!$A$2:$A$6</c:f>
              <c:strCache>
                <c:ptCount val="5"/>
                <c:pt idx="0">
                  <c:v>教育支出</c:v>
                </c:pt>
                <c:pt idx="1">
                  <c:v>社会保障和就业支出</c:v>
                </c:pt>
                <c:pt idx="2">
                  <c:v>卫生健康支出</c:v>
                </c:pt>
                <c:pt idx="3">
                  <c:v>农林水支出</c:v>
                </c:pt>
                <c:pt idx="4">
                  <c:v>住房保障支出</c:v>
                </c:pt>
              </c:strCache>
            </c:strRef>
          </c:cat>
          <c:val>
            <c:numRef>
              <c:f>Sheet1!$C$2:$C$6</c:f>
              <c:numCache>
                <c:formatCode>General</c:formatCode>
                <c:ptCount val="5"/>
                <c:pt idx="0">
                  <c:v>2.5</c:v>
                </c:pt>
                <c:pt idx="1">
                  <c:v>47.92</c:v>
                </c:pt>
                <c:pt idx="2">
                  <c:v>42.61</c:v>
                </c:pt>
                <c:pt idx="3">
                  <c:v>404.74</c:v>
                </c:pt>
                <c:pt idx="4">
                  <c:v>34.91</c:v>
                </c:pt>
              </c:numCache>
            </c:numRef>
          </c:val>
        </c:ser>
        <c:dLbls>
          <c:showLegendKey val="0"/>
          <c:showVal val="0"/>
          <c:showCatName val="0"/>
          <c:showSerName val="0"/>
          <c:showPercent val="0"/>
          <c:showBubbleSize val="0"/>
        </c:dLbls>
        <c:gapWidth val="219"/>
        <c:overlap val="-27"/>
        <c:axId val="45953408"/>
        <c:axId val="45954944"/>
      </c:barChart>
      <c:catAx>
        <c:axId val="459534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954944"/>
        <c:crosses val="autoZero"/>
        <c:auto val="1"/>
        <c:lblAlgn val="ctr"/>
        <c:lblOffset val="100"/>
        <c:noMultiLvlLbl val="0"/>
      </c:catAx>
      <c:valAx>
        <c:axId val="4595494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9534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教育支出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Sheet1!$A$2:$A$3</c:f>
              <c:strCache>
                <c:ptCount val="2"/>
                <c:pt idx="0">
                  <c:v>2050803</c:v>
                </c:pt>
                <c:pt idx="1">
                  <c:v>205x</c:v>
                </c:pt>
              </c:strCache>
            </c:strRef>
          </c:cat>
          <c:val>
            <c:numRef>
              <c:f>Sheet1!$B$2:$B$3</c:f>
              <c:numCache>
                <c:formatCode>General</c:formatCode>
                <c:ptCount val="2"/>
                <c:pt idx="0">
                  <c:v>2.5</c:v>
                </c:pt>
                <c:pt idx="1">
                  <c:v>2.5</c:v>
                </c:pt>
              </c:numCache>
            </c:numRef>
          </c:val>
        </c:ser>
        <c:dLbls>
          <c:showLegendKey val="0"/>
          <c:showVal val="0"/>
          <c:showCatName val="0"/>
          <c:showSerName val="0"/>
          <c:showPercent val="0"/>
          <c:showBubbleSize val="0"/>
        </c:dLbls>
        <c:gapWidth val="219"/>
        <c:overlap val="-27"/>
        <c:axId val="45962752"/>
        <c:axId val="45964288"/>
      </c:barChart>
      <c:catAx>
        <c:axId val="459627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964288"/>
        <c:crosses val="autoZero"/>
        <c:auto val="1"/>
        <c:lblAlgn val="ctr"/>
        <c:lblOffset val="100"/>
        <c:noMultiLvlLbl val="0"/>
      </c:catAx>
      <c:valAx>
        <c:axId val="4596428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96275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社会保障和就业支出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Sheet1!$A$2:$A$4</c:f>
              <c:strCache>
                <c:ptCount val="3"/>
                <c:pt idx="0">
                  <c:v>2080505</c:v>
                </c:pt>
                <c:pt idx="1">
                  <c:v>2080801</c:v>
                </c:pt>
                <c:pt idx="2">
                  <c:v>208x</c:v>
                </c:pt>
              </c:strCache>
            </c:strRef>
          </c:cat>
          <c:val>
            <c:numRef>
              <c:f>Sheet1!$B$2:$B$4</c:f>
              <c:numCache>
                <c:formatCode>General</c:formatCode>
                <c:ptCount val="3"/>
                <c:pt idx="0">
                  <c:v>46.55</c:v>
                </c:pt>
                <c:pt idx="1">
                  <c:v>1.37</c:v>
                </c:pt>
                <c:pt idx="2">
                  <c:v>47.92</c:v>
                </c:pt>
              </c:numCache>
            </c:numRef>
          </c:val>
        </c:ser>
        <c:dLbls>
          <c:showLegendKey val="0"/>
          <c:showVal val="0"/>
          <c:showCatName val="0"/>
          <c:showSerName val="0"/>
          <c:showPercent val="0"/>
          <c:showBubbleSize val="0"/>
        </c:dLbls>
        <c:gapWidth val="219"/>
        <c:overlap val="-27"/>
        <c:axId val="45976192"/>
        <c:axId val="45977984"/>
      </c:barChart>
      <c:catAx>
        <c:axId val="459761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977984"/>
        <c:crosses val="autoZero"/>
        <c:auto val="1"/>
        <c:lblAlgn val="ctr"/>
        <c:lblOffset val="100"/>
        <c:noMultiLvlLbl val="0"/>
      </c:catAx>
      <c:valAx>
        <c:axId val="4597798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97619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卫生健康支出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Sheet1!$A$2:$A$4</c:f>
              <c:strCache>
                <c:ptCount val="3"/>
                <c:pt idx="0">
                  <c:v>2101101</c:v>
                </c:pt>
                <c:pt idx="1">
                  <c:v>2101103</c:v>
                </c:pt>
                <c:pt idx="2">
                  <c:v>210x</c:v>
                </c:pt>
              </c:strCache>
            </c:strRef>
          </c:cat>
          <c:val>
            <c:numRef>
              <c:f>Sheet1!$B$2:$B$4</c:f>
              <c:numCache>
                <c:formatCode>General</c:formatCode>
                <c:ptCount val="3"/>
                <c:pt idx="0">
                  <c:v>19.94</c:v>
                </c:pt>
                <c:pt idx="1">
                  <c:v>22.67</c:v>
                </c:pt>
                <c:pt idx="2">
                  <c:v>42.61</c:v>
                </c:pt>
              </c:numCache>
            </c:numRef>
          </c:val>
        </c:ser>
        <c:dLbls>
          <c:showLegendKey val="0"/>
          <c:showVal val="0"/>
          <c:showCatName val="0"/>
          <c:showSerName val="0"/>
          <c:showPercent val="0"/>
          <c:showBubbleSize val="0"/>
        </c:dLbls>
        <c:gapWidth val="219"/>
        <c:overlap val="-27"/>
        <c:axId val="46129152"/>
        <c:axId val="46130688"/>
      </c:barChart>
      <c:catAx>
        <c:axId val="461291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130688"/>
        <c:crosses val="autoZero"/>
        <c:auto val="1"/>
        <c:lblAlgn val="ctr"/>
        <c:lblOffset val="100"/>
        <c:noMultiLvlLbl val="0"/>
      </c:catAx>
      <c:valAx>
        <c:axId val="4613068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12915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农林水支出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Sheet1!$A$2:$A$5</c:f>
              <c:strCache>
                <c:ptCount val="4"/>
                <c:pt idx="0">
                  <c:v>2130101</c:v>
                </c:pt>
                <c:pt idx="1">
                  <c:v>2130102</c:v>
                </c:pt>
                <c:pt idx="2">
                  <c:v>2130122</c:v>
                </c:pt>
                <c:pt idx="3">
                  <c:v>213x</c:v>
                </c:pt>
              </c:strCache>
            </c:strRef>
          </c:cat>
          <c:val>
            <c:numRef>
              <c:f>Sheet1!$B$2:$B$5</c:f>
              <c:numCache>
                <c:formatCode>General</c:formatCode>
                <c:ptCount val="4"/>
                <c:pt idx="0">
                  <c:v>375.84</c:v>
                </c:pt>
                <c:pt idx="1">
                  <c:v>5.91</c:v>
                </c:pt>
                <c:pt idx="2">
                  <c:v>22.79</c:v>
                </c:pt>
                <c:pt idx="3">
                  <c:v>404.54</c:v>
                </c:pt>
              </c:numCache>
            </c:numRef>
          </c:val>
        </c:ser>
        <c:dLbls>
          <c:showLegendKey val="0"/>
          <c:showVal val="0"/>
          <c:showCatName val="0"/>
          <c:showSerName val="0"/>
          <c:showPercent val="0"/>
          <c:showBubbleSize val="0"/>
        </c:dLbls>
        <c:gapWidth val="219"/>
        <c:overlap val="-27"/>
        <c:axId val="46531712"/>
        <c:axId val="46533248"/>
      </c:barChart>
      <c:catAx>
        <c:axId val="465317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533248"/>
        <c:crosses val="autoZero"/>
        <c:auto val="1"/>
        <c:lblAlgn val="ctr"/>
        <c:lblOffset val="100"/>
        <c:noMultiLvlLbl val="0"/>
      </c:catAx>
      <c:valAx>
        <c:axId val="4653324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53171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住房保障支出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Sheet1!$A$2:$A$3</c:f>
              <c:strCache>
                <c:ptCount val="2"/>
                <c:pt idx="0">
                  <c:v>2210201</c:v>
                </c:pt>
                <c:pt idx="1">
                  <c:v>221x</c:v>
                </c:pt>
              </c:strCache>
            </c:strRef>
          </c:cat>
          <c:val>
            <c:numRef>
              <c:f>Sheet1!$B$2:$B$3</c:f>
              <c:numCache>
                <c:formatCode>General</c:formatCode>
                <c:ptCount val="2"/>
                <c:pt idx="0">
                  <c:v>34.91</c:v>
                </c:pt>
                <c:pt idx="1">
                  <c:v>34.91</c:v>
                </c:pt>
              </c:numCache>
            </c:numRef>
          </c:val>
        </c:ser>
        <c:dLbls>
          <c:showLegendKey val="0"/>
          <c:showVal val="0"/>
          <c:showCatName val="0"/>
          <c:showSerName val="0"/>
          <c:showPercent val="0"/>
          <c:showBubbleSize val="0"/>
        </c:dLbls>
        <c:gapWidth val="219"/>
        <c:overlap val="-27"/>
        <c:axId val="46000384"/>
        <c:axId val="46546944"/>
      </c:barChart>
      <c:catAx>
        <c:axId val="460003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546944"/>
        <c:crosses val="autoZero"/>
        <c:auto val="1"/>
        <c:lblAlgn val="ctr"/>
        <c:lblOffset val="100"/>
        <c:noMultiLvlLbl val="0"/>
      </c:catAx>
      <c:valAx>
        <c:axId val="4654694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00038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工资福利支出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Sheet1!$A$2:$A$14</c:f>
              <c:strCache>
                <c:ptCount val="13"/>
                <c:pt idx="0">
                  <c:v>30101</c:v>
                </c:pt>
                <c:pt idx="1">
                  <c:v>30102</c:v>
                </c:pt>
                <c:pt idx="2">
                  <c:v>30103</c:v>
                </c:pt>
                <c:pt idx="3">
                  <c:v>30106</c:v>
                </c:pt>
                <c:pt idx="4">
                  <c:v>30107</c:v>
                </c:pt>
                <c:pt idx="5">
                  <c:v>30108</c:v>
                </c:pt>
                <c:pt idx="6">
                  <c:v>30109</c:v>
                </c:pt>
                <c:pt idx="7">
                  <c:v>30110</c:v>
                </c:pt>
                <c:pt idx="8">
                  <c:v>30111</c:v>
                </c:pt>
                <c:pt idx="9">
                  <c:v>30112</c:v>
                </c:pt>
                <c:pt idx="10">
                  <c:v>30113</c:v>
                </c:pt>
                <c:pt idx="11">
                  <c:v>30114</c:v>
                </c:pt>
                <c:pt idx="12">
                  <c:v>30199</c:v>
                </c:pt>
              </c:strCache>
            </c:strRef>
          </c:cat>
          <c:val>
            <c:numRef>
              <c:f>Sheet1!$B$2:$B$14</c:f>
              <c:numCache>
                <c:formatCode>General</c:formatCode>
                <c:ptCount val="13"/>
                <c:pt idx="0">
                  <c:v>90.79</c:v>
                </c:pt>
                <c:pt idx="1">
                  <c:v>82.35</c:v>
                </c:pt>
                <c:pt idx="2">
                  <c:v>112.87</c:v>
                </c:pt>
                <c:pt idx="3">
                  <c:v>0</c:v>
                </c:pt>
                <c:pt idx="4">
                  <c:v>0</c:v>
                </c:pt>
                <c:pt idx="5">
                  <c:v>46.55</c:v>
                </c:pt>
                <c:pt idx="6">
                  <c:v>0</c:v>
                </c:pt>
                <c:pt idx="7">
                  <c:v>18.47</c:v>
                </c:pt>
                <c:pt idx="8">
                  <c:v>11.43</c:v>
                </c:pt>
                <c:pt idx="9">
                  <c:v>1.46</c:v>
                </c:pt>
                <c:pt idx="10">
                  <c:v>34.91</c:v>
                </c:pt>
                <c:pt idx="11">
                  <c:v>0</c:v>
                </c:pt>
                <c:pt idx="12">
                  <c:v>0</c:v>
                </c:pt>
              </c:numCache>
            </c:numRef>
          </c:val>
        </c:ser>
        <c:dLbls>
          <c:showLegendKey val="0"/>
          <c:showVal val="0"/>
          <c:showCatName val="0"/>
          <c:showSerName val="0"/>
          <c:showPercent val="0"/>
          <c:showBubbleSize val="0"/>
        </c:dLbls>
        <c:gapWidth val="219"/>
        <c:overlap val="-27"/>
        <c:axId val="46734720"/>
        <c:axId val="60015744"/>
      </c:barChart>
      <c:catAx>
        <c:axId val="4673472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015744"/>
        <c:crosses val="autoZero"/>
        <c:auto val="1"/>
        <c:lblAlgn val="ctr"/>
        <c:lblOffset val="100"/>
        <c:noMultiLvlLbl val="0"/>
      </c:catAx>
      <c:valAx>
        <c:axId val="6001574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7347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商品和服务支出</a:t>
            </a:r>
            <a:endParaRPr lang="en-US" sz="1100"/>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科目代码</c:v>
                </c:pt>
              </c:strCache>
            </c:strRef>
          </c:tx>
          <c:spPr>
            <a:solidFill>
              <a:schemeClr val="accent1"/>
            </a:solidFill>
            <a:ln>
              <a:noFill/>
            </a:ln>
            <a:effectLst/>
          </c:spPr>
          <c:invertIfNegative val="0"/>
          <c:dLbls>
            <c:delete val="1"/>
          </c:dLbls>
          <c:cat>
            <c:strRef>
              <c:f>Sheet1!$A$2:$A$28</c:f>
              <c:strCache>
                <c:ptCount val="27"/>
                <c:pt idx="0">
                  <c:v>30201</c:v>
                </c:pt>
                <c:pt idx="1">
                  <c:v>30202</c:v>
                </c:pt>
                <c:pt idx="2">
                  <c:v>30203</c:v>
                </c:pt>
                <c:pt idx="3">
                  <c:v>30204</c:v>
                </c:pt>
                <c:pt idx="4">
                  <c:v>30205</c:v>
                </c:pt>
                <c:pt idx="5">
                  <c:v>30206</c:v>
                </c:pt>
                <c:pt idx="6">
                  <c:v>30207</c:v>
                </c:pt>
                <c:pt idx="7">
                  <c:v>30208</c:v>
                </c:pt>
                <c:pt idx="8">
                  <c:v>30209</c:v>
                </c:pt>
                <c:pt idx="9">
                  <c:v>30211</c:v>
                </c:pt>
                <c:pt idx="10">
                  <c:v>30212</c:v>
                </c:pt>
                <c:pt idx="11">
                  <c:v>30213</c:v>
                </c:pt>
                <c:pt idx="12">
                  <c:v>30214</c:v>
                </c:pt>
                <c:pt idx="13">
                  <c:v>30215</c:v>
                </c:pt>
                <c:pt idx="14">
                  <c:v>30216</c:v>
                </c:pt>
                <c:pt idx="15">
                  <c:v>30217</c:v>
                </c:pt>
                <c:pt idx="16">
                  <c:v>30218</c:v>
                </c:pt>
                <c:pt idx="17">
                  <c:v>30224</c:v>
                </c:pt>
                <c:pt idx="18">
                  <c:v>30225</c:v>
                </c:pt>
                <c:pt idx="19">
                  <c:v>30226</c:v>
                </c:pt>
                <c:pt idx="20">
                  <c:v>30227</c:v>
                </c:pt>
                <c:pt idx="21">
                  <c:v>30228</c:v>
                </c:pt>
                <c:pt idx="22">
                  <c:v>30229</c:v>
                </c:pt>
                <c:pt idx="23">
                  <c:v>30231</c:v>
                </c:pt>
                <c:pt idx="24">
                  <c:v>30239</c:v>
                </c:pt>
                <c:pt idx="25">
                  <c:v>30240</c:v>
                </c:pt>
                <c:pt idx="26">
                  <c:v>30299</c:v>
                </c:pt>
              </c:strCache>
            </c:strRef>
          </c:cat>
          <c:val>
            <c:numRef>
              <c:f>Sheet1!$B$2:$B$28</c:f>
              <c:numCache>
                <c:formatCode>General</c:formatCode>
                <c:ptCount val="27"/>
                <c:pt idx="0">
                  <c:v>0.28</c:v>
                </c:pt>
                <c:pt idx="1">
                  <c:v>0.05</c:v>
                </c:pt>
                <c:pt idx="2">
                  <c:v>0</c:v>
                </c:pt>
                <c:pt idx="3">
                  <c:v>0</c:v>
                </c:pt>
                <c:pt idx="4">
                  <c:v>0</c:v>
                </c:pt>
                <c:pt idx="5">
                  <c:v>0</c:v>
                </c:pt>
                <c:pt idx="6">
                  <c:v>3.72</c:v>
                </c:pt>
                <c:pt idx="7">
                  <c:v>0</c:v>
                </c:pt>
                <c:pt idx="8">
                  <c:v>0</c:v>
                </c:pt>
                <c:pt idx="9">
                  <c:v>5.14</c:v>
                </c:pt>
                <c:pt idx="10">
                  <c:v>0</c:v>
                </c:pt>
                <c:pt idx="11">
                  <c:v>0.73</c:v>
                </c:pt>
                <c:pt idx="12">
                  <c:v>0</c:v>
                </c:pt>
                <c:pt idx="13">
                  <c:v>0</c:v>
                </c:pt>
                <c:pt idx="14">
                  <c:v>3.3</c:v>
                </c:pt>
                <c:pt idx="15">
                  <c:v>0</c:v>
                </c:pt>
                <c:pt idx="16">
                  <c:v>0</c:v>
                </c:pt>
                <c:pt idx="17">
                  <c:v>0</c:v>
                </c:pt>
                <c:pt idx="18">
                  <c:v>0</c:v>
                </c:pt>
                <c:pt idx="19">
                  <c:v>0</c:v>
                </c:pt>
                <c:pt idx="20">
                  <c:v>0</c:v>
                </c:pt>
                <c:pt idx="21">
                  <c:v>6.8</c:v>
                </c:pt>
                <c:pt idx="22">
                  <c:v>0.15</c:v>
                </c:pt>
                <c:pt idx="23">
                  <c:v>0</c:v>
                </c:pt>
                <c:pt idx="24">
                  <c:v>25.48</c:v>
                </c:pt>
                <c:pt idx="25">
                  <c:v>0</c:v>
                </c:pt>
                <c:pt idx="26">
                  <c:v>17.93</c:v>
                </c:pt>
              </c:numCache>
            </c:numRef>
          </c:val>
        </c:ser>
        <c:dLbls>
          <c:showLegendKey val="0"/>
          <c:showVal val="0"/>
          <c:showCatName val="0"/>
          <c:showSerName val="0"/>
          <c:showPercent val="0"/>
          <c:showBubbleSize val="0"/>
        </c:dLbls>
        <c:gapWidth val="219"/>
        <c:overlap val="-27"/>
        <c:axId val="73753728"/>
        <c:axId val="73755264"/>
      </c:barChart>
      <c:catAx>
        <c:axId val="7375372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755264"/>
        <c:crosses val="autoZero"/>
        <c:auto val="1"/>
        <c:lblAlgn val="ctr"/>
        <c:lblOffset val="100"/>
        <c:noMultiLvlLbl val="0"/>
      </c:catAx>
      <c:valAx>
        <c:axId val="7375526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75372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856816-6EE4-4852-9AC7-82ECE117372D}">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2552</Words>
  <Characters>14551</Characters>
  <Lines>121</Lines>
  <Paragraphs>34</Paragraphs>
  <TotalTime>9</TotalTime>
  <ScaleCrop>false</ScaleCrop>
  <LinksUpToDate>false</LinksUpToDate>
  <CharactersWithSpaces>17069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2023-09-21T08:41:00Z</dcterms:created>
  <dc:creator>C D D</dc:creator>
  <cp:lastModifiedBy>唐小赖</cp:lastModifiedBy>
  <cp:lastPrinted>2023-09-22T09:32:00Z</cp:lastPrinted>
  <dcterms:modified xsi:type="dcterms:W3CDTF">2023-09-24T03:04:14Z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BC8F57A8657E4D829811C83B655812DE_13</vt:lpwstr>
  </property>
</Properties>
</file>